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B53" w:rsidRPr="008313A9" w:rsidRDefault="00063B53" w:rsidP="00063B5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_tradnl"/>
        </w:rPr>
      </w:pPr>
      <w:r w:rsidRPr="008313A9">
        <w:rPr>
          <w:rFonts w:ascii="Times New Roman" w:eastAsia="Calibri" w:hAnsi="Times New Roman" w:cs="Times New Roman"/>
          <w:sz w:val="20"/>
          <w:szCs w:val="20"/>
          <w:lang w:val="es-ES_tradnl"/>
        </w:rPr>
        <w:t>Título: Manipulación de cargas con carretillas elevadoras.</w:t>
      </w:r>
    </w:p>
    <w:p w:rsidR="00063B53" w:rsidRPr="008313A9" w:rsidRDefault="00063B53" w:rsidP="00063B5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_tradnl"/>
        </w:rPr>
      </w:pPr>
      <w:r w:rsidRPr="008313A9">
        <w:rPr>
          <w:rFonts w:ascii="Times New Roman" w:eastAsia="Calibri" w:hAnsi="Times New Roman" w:cs="Times New Roman"/>
          <w:sz w:val="20"/>
          <w:szCs w:val="20"/>
          <w:lang w:val="es-ES_tradnl"/>
        </w:rPr>
        <w:t xml:space="preserve">Subtítulo: </w:t>
      </w:r>
      <w:r w:rsidR="00D54781">
        <w:rPr>
          <w:rFonts w:ascii="Times New Roman" w:eastAsia="Calibri" w:hAnsi="Times New Roman" w:cs="Times New Roman"/>
          <w:sz w:val="20"/>
          <w:szCs w:val="20"/>
          <w:lang w:val="es-ES_tradnl"/>
        </w:rPr>
        <w:t>E</w:t>
      </w:r>
      <w:r w:rsidR="00B378E8">
        <w:rPr>
          <w:rFonts w:ascii="Times New Roman" w:eastAsia="Calibri" w:hAnsi="Times New Roman" w:cs="Times New Roman"/>
          <w:sz w:val="20"/>
          <w:szCs w:val="20"/>
          <w:lang w:val="es-ES_tradnl"/>
        </w:rPr>
        <w:t>mbalaje y traslado de mercancías</w:t>
      </w:r>
      <w:bookmarkStart w:id="0" w:name="_GoBack"/>
      <w:bookmarkEnd w:id="0"/>
      <w:r w:rsidRPr="008313A9">
        <w:rPr>
          <w:rFonts w:ascii="Times New Roman" w:eastAsia="Calibri" w:hAnsi="Times New Roman" w:cs="Times New Roman"/>
          <w:sz w:val="20"/>
          <w:szCs w:val="20"/>
          <w:lang w:val="es-ES_tradnl"/>
        </w:rPr>
        <w:t>.</w:t>
      </w:r>
    </w:p>
    <w:p w:rsidR="00063B53" w:rsidRPr="008313A9" w:rsidRDefault="00063B53" w:rsidP="00063B5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_tradnl"/>
        </w:rPr>
      </w:pPr>
      <w:r w:rsidRPr="008313A9">
        <w:rPr>
          <w:rFonts w:ascii="Times New Roman" w:eastAsia="Calibri" w:hAnsi="Times New Roman" w:cs="Times New Roman"/>
          <w:sz w:val="20"/>
          <w:szCs w:val="20"/>
          <w:lang w:val="es-ES_tradnl"/>
        </w:rPr>
        <w:t>ISBN: 978-84-9839-516-7.</w:t>
      </w:r>
    </w:p>
    <w:p w:rsidR="00063B53" w:rsidRPr="008313A9" w:rsidRDefault="00063B53" w:rsidP="00063B5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_tradnl"/>
        </w:rPr>
      </w:pPr>
      <w:r w:rsidRPr="008313A9">
        <w:rPr>
          <w:rFonts w:ascii="Times New Roman" w:eastAsia="Calibri" w:hAnsi="Times New Roman" w:cs="Times New Roman"/>
          <w:sz w:val="20"/>
          <w:szCs w:val="20"/>
          <w:lang w:val="es-ES_tradnl"/>
        </w:rPr>
        <w:t xml:space="preserve">Autor: </w:t>
      </w:r>
      <w:r w:rsidR="00043FC5">
        <w:rPr>
          <w:rFonts w:ascii="Times New Roman" w:eastAsia="Calibri" w:hAnsi="Times New Roman" w:cs="Times New Roman"/>
          <w:sz w:val="20"/>
          <w:szCs w:val="20"/>
          <w:lang w:val="es-ES_tradnl"/>
        </w:rPr>
        <w:t>Alberto Mateo Bobe</w:t>
      </w:r>
      <w:r w:rsidRPr="008313A9">
        <w:rPr>
          <w:rFonts w:ascii="Times New Roman" w:eastAsia="Calibri" w:hAnsi="Times New Roman" w:cs="Times New Roman"/>
          <w:sz w:val="20"/>
          <w:szCs w:val="20"/>
          <w:lang w:val="es-ES_tradnl"/>
        </w:rPr>
        <w:t>.</w:t>
      </w:r>
    </w:p>
    <w:p w:rsidR="00063B53" w:rsidRPr="00063B53" w:rsidRDefault="00063B53" w:rsidP="00063B53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C4F62" w:rsidRDefault="008F5C89" w:rsidP="008F5C8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8F5C89">
        <w:rPr>
          <w:rFonts w:ascii="Times New Roman" w:hAnsi="Times New Roman" w:cs="Times New Roman"/>
          <w:b/>
          <w:sz w:val="20"/>
        </w:rPr>
        <w:t>EXAMEN</w:t>
      </w:r>
    </w:p>
    <w:p w:rsidR="008F5C89" w:rsidRDefault="008F5C89" w:rsidP="008F5C8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8F5C89" w:rsidRDefault="008F5C89" w:rsidP="008F5C8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9003ED" w:rsidRPr="005C3A55" w:rsidRDefault="009003ED" w:rsidP="008F5C89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5C3A55">
        <w:rPr>
          <w:rFonts w:ascii="Times New Roman" w:hAnsi="Times New Roman" w:cs="Times New Roman"/>
          <w:b/>
          <w:sz w:val="20"/>
        </w:rPr>
        <w:t xml:space="preserve">1. </w:t>
      </w:r>
      <w:r w:rsidR="005C3A55" w:rsidRPr="005C3A55">
        <w:rPr>
          <w:rFonts w:ascii="Times New Roman" w:hAnsi="Times New Roman" w:cs="Times New Roman"/>
          <w:b/>
          <w:sz w:val="20"/>
        </w:rPr>
        <w:t>Complete el siguiente esquema referente al flujo</w:t>
      </w:r>
      <w:r w:rsidR="005C3A55">
        <w:rPr>
          <w:rFonts w:ascii="Times New Roman" w:hAnsi="Times New Roman" w:cs="Times New Roman"/>
          <w:b/>
          <w:sz w:val="20"/>
        </w:rPr>
        <w:t xml:space="preserve"> </w:t>
      </w:r>
      <w:r w:rsidR="005C3A55" w:rsidRPr="005C3A55">
        <w:rPr>
          <w:rFonts w:ascii="Times New Roman" w:hAnsi="Times New Roman" w:cs="Times New Roman"/>
          <w:b/>
          <w:sz w:val="20"/>
        </w:rPr>
        <w:t>logístico</w:t>
      </w:r>
      <w:r w:rsidR="005C3A55">
        <w:rPr>
          <w:rFonts w:ascii="Times New Roman" w:hAnsi="Times New Roman" w:cs="Times New Roman"/>
          <w:b/>
          <w:sz w:val="20"/>
        </w:rPr>
        <w:t xml:space="preserve"> de una empresa</w:t>
      </w:r>
      <w:r w:rsidR="005C3A55" w:rsidRPr="005C3A55">
        <w:rPr>
          <w:rFonts w:ascii="Times New Roman" w:hAnsi="Times New Roman" w:cs="Times New Roman"/>
          <w:b/>
          <w:sz w:val="20"/>
        </w:rPr>
        <w:t>.</w:t>
      </w:r>
    </w:p>
    <w:p w:rsidR="005C3A55" w:rsidRDefault="005C3A55" w:rsidP="008F5C8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C3A55" w:rsidRDefault="00DE5B75" w:rsidP="001B70F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es-ES"/>
        </w:rPr>
        <w:drawing>
          <wp:inline distT="0" distB="0" distL="0" distR="0" wp14:anchorId="72DAEA4B" wp14:editId="535B3063">
            <wp:extent cx="4257675" cy="2457450"/>
            <wp:effectExtent l="0" t="0" r="9525" b="0"/>
            <wp:docPr id="1" name="Imagen 1" descr="\\grupofemxa.com\femxa\UPE\DS-MQ\DIS\CP\ActividadesAuxiliaresDeAlmacen\MF0432_1\Manual\Examen\010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rupofemxa.com\femxa\UPE\DS-MQ\DIS\CP\ActividadesAuxiliaresDeAlmacen\MF0432_1\Manual\Examen\0101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3ED" w:rsidRDefault="009003ED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C3A55" w:rsidRPr="005C3A55" w:rsidRDefault="005C3A55" w:rsidP="009003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3A55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DB589D">
        <w:rPr>
          <w:rFonts w:ascii="Times New Roman" w:hAnsi="Times New Roman" w:cs="Times New Roman"/>
          <w:b/>
          <w:sz w:val="20"/>
          <w:szCs w:val="20"/>
        </w:rPr>
        <w:t xml:space="preserve">Nombre </w:t>
      </w:r>
      <w:r w:rsidRPr="005C3A55">
        <w:rPr>
          <w:rFonts w:ascii="Times New Roman" w:hAnsi="Times New Roman" w:cs="Times New Roman"/>
          <w:b/>
          <w:sz w:val="20"/>
          <w:szCs w:val="20"/>
        </w:rPr>
        <w:t xml:space="preserve">los </w:t>
      </w:r>
      <w:r>
        <w:rPr>
          <w:rFonts w:ascii="Times New Roman" w:hAnsi="Times New Roman" w:cs="Times New Roman"/>
          <w:b/>
          <w:sz w:val="20"/>
          <w:szCs w:val="20"/>
        </w:rPr>
        <w:t>factores de riesgo</w:t>
      </w:r>
      <w:r w:rsidRPr="005C3A55">
        <w:rPr>
          <w:rFonts w:ascii="Times New Roman" w:hAnsi="Times New Roman" w:cs="Times New Roman"/>
          <w:b/>
          <w:sz w:val="20"/>
          <w:szCs w:val="20"/>
        </w:rPr>
        <w:t xml:space="preserve"> que supone la manipulación manual de mercancías</w:t>
      </w:r>
    </w:p>
    <w:p w:rsidR="005C3A55" w:rsidRDefault="005C3A55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C3A55" w:rsidRDefault="005C3A55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Características de la carga</w:t>
      </w:r>
      <w:r w:rsidR="00E5514F">
        <w:rPr>
          <w:rFonts w:ascii="Times New Roman" w:hAnsi="Times New Roman" w:cs="Times New Roman"/>
          <w:sz w:val="20"/>
          <w:szCs w:val="20"/>
        </w:rPr>
        <w:t>.</w:t>
      </w:r>
    </w:p>
    <w:p w:rsidR="005C3A55" w:rsidRDefault="005C3A55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Esfuerzo físico necesario</w:t>
      </w:r>
      <w:r w:rsidR="00E5514F">
        <w:rPr>
          <w:rFonts w:ascii="Times New Roman" w:hAnsi="Times New Roman" w:cs="Times New Roman"/>
          <w:sz w:val="20"/>
          <w:szCs w:val="20"/>
        </w:rPr>
        <w:t>.</w:t>
      </w:r>
    </w:p>
    <w:p w:rsidR="005C3A55" w:rsidRDefault="00E5514F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Características del medio de tra</w:t>
      </w:r>
      <w:r w:rsidR="005C3A55">
        <w:rPr>
          <w:rFonts w:ascii="Times New Roman" w:hAnsi="Times New Roman" w:cs="Times New Roman"/>
          <w:sz w:val="20"/>
          <w:szCs w:val="20"/>
        </w:rPr>
        <w:t>bajo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C3A55" w:rsidRDefault="005C3A55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Exigencias de la actividad</w:t>
      </w:r>
      <w:r w:rsidR="00E5514F">
        <w:rPr>
          <w:rFonts w:ascii="Times New Roman" w:hAnsi="Times New Roman" w:cs="Times New Roman"/>
          <w:sz w:val="20"/>
          <w:szCs w:val="20"/>
        </w:rPr>
        <w:t>.</w:t>
      </w:r>
    </w:p>
    <w:p w:rsidR="005C3A55" w:rsidRDefault="005C3A55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Factores individuales de riesgo</w:t>
      </w:r>
    </w:p>
    <w:p w:rsidR="005C3A55" w:rsidRDefault="005C3A55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60D10" w:rsidRPr="00B60D10" w:rsidRDefault="00B60D10" w:rsidP="009003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60D10">
        <w:rPr>
          <w:rFonts w:ascii="Times New Roman" w:hAnsi="Times New Roman" w:cs="Times New Roman"/>
          <w:b/>
          <w:sz w:val="20"/>
          <w:szCs w:val="20"/>
        </w:rPr>
        <w:t>3. ¿Cuáles son los movimientos de mercancías dentro del almacén?</w:t>
      </w:r>
    </w:p>
    <w:p w:rsidR="00B60D10" w:rsidRDefault="00B60D10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60D10" w:rsidRPr="00B60D10" w:rsidRDefault="00B60D10" w:rsidP="00B60D1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s-ES_tradnl"/>
        </w:rPr>
      </w:pPr>
      <w:r>
        <w:rPr>
          <w:rFonts w:ascii="Times New Roman" w:eastAsia="Calibri" w:hAnsi="Times New Roman" w:cs="Times New Roman"/>
          <w:sz w:val="20"/>
          <w:szCs w:val="20"/>
          <w:lang w:val="es-ES_tradnl"/>
        </w:rPr>
        <w:t>El primer movimiento es l</w:t>
      </w:r>
      <w:r w:rsidRPr="00B60D10">
        <w:rPr>
          <w:rFonts w:ascii="Times New Roman" w:eastAsia="Calibri" w:hAnsi="Times New Roman" w:cs="Times New Roman"/>
          <w:sz w:val="20"/>
          <w:szCs w:val="20"/>
          <w:lang w:val="es-ES_tradnl"/>
        </w:rPr>
        <w:t xml:space="preserve">a entrada de mercancías a un almacén como consecuencia de un </w:t>
      </w:r>
      <w:r>
        <w:rPr>
          <w:rFonts w:ascii="Times New Roman" w:eastAsia="Calibri" w:hAnsi="Times New Roman" w:cs="Times New Roman"/>
          <w:sz w:val="20"/>
          <w:szCs w:val="20"/>
          <w:lang w:val="es-ES_tradnl"/>
        </w:rPr>
        <w:t>nuevo pedido. Un segundo movimiento es la</w:t>
      </w:r>
      <w:r w:rsidRPr="00B60D10">
        <w:rPr>
          <w:rFonts w:ascii="Times New Roman" w:eastAsia="Calibri" w:hAnsi="Times New Roman" w:cs="Times New Roman"/>
          <w:sz w:val="20"/>
          <w:szCs w:val="20"/>
          <w:lang w:val="es-ES_tradnl"/>
        </w:rPr>
        <w:t xml:space="preserve"> salida de material del almacén, por ejemplo el picking de mercancía</w:t>
      </w:r>
      <w:r>
        <w:rPr>
          <w:rFonts w:ascii="Times New Roman" w:eastAsia="Calibri" w:hAnsi="Times New Roman" w:cs="Times New Roman"/>
          <w:sz w:val="20"/>
          <w:szCs w:val="20"/>
          <w:lang w:val="es-ES_tradnl"/>
        </w:rPr>
        <w:t>s para la entrega a un cliente. Y, el último movimiento hace referencia a l</w:t>
      </w:r>
      <w:r w:rsidRPr="00B60D10">
        <w:rPr>
          <w:rFonts w:ascii="Times New Roman" w:eastAsia="Calibri" w:hAnsi="Times New Roman" w:cs="Times New Roman"/>
          <w:sz w:val="20"/>
          <w:szCs w:val="20"/>
          <w:lang w:val="es-ES_tradnl"/>
        </w:rPr>
        <w:t>os traslados realizados dentro del al</w:t>
      </w:r>
      <w:r>
        <w:rPr>
          <w:rFonts w:ascii="Times New Roman" w:eastAsia="Calibri" w:hAnsi="Times New Roman" w:cs="Times New Roman"/>
          <w:sz w:val="20"/>
          <w:szCs w:val="20"/>
          <w:lang w:val="es-ES_tradnl"/>
        </w:rPr>
        <w:t>macén.</w:t>
      </w:r>
    </w:p>
    <w:p w:rsidR="00B60D10" w:rsidRPr="00B60D10" w:rsidRDefault="00B60D10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C375EF" w:rsidRPr="00362719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362719">
        <w:rPr>
          <w:rFonts w:ascii="Times New Roman" w:hAnsi="Times New Roman" w:cs="Times New Roman"/>
          <w:b/>
          <w:sz w:val="20"/>
          <w:szCs w:val="20"/>
        </w:rPr>
        <w:t>. Defina brevemente el concepto de paletización.</w:t>
      </w: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A140A">
        <w:rPr>
          <w:rFonts w:ascii="Times New Roman" w:hAnsi="Times New Roman"/>
          <w:sz w:val="20"/>
          <w:szCs w:val="20"/>
        </w:rPr>
        <w:t xml:space="preserve">La </w:t>
      </w:r>
      <w:r w:rsidRPr="00362719">
        <w:rPr>
          <w:rFonts w:ascii="Times New Roman" w:hAnsi="Times New Roman"/>
          <w:sz w:val="20"/>
          <w:szCs w:val="20"/>
        </w:rPr>
        <w:t>paletización</w:t>
      </w:r>
      <w:r w:rsidRPr="008A140A">
        <w:rPr>
          <w:rFonts w:ascii="Times New Roman" w:hAnsi="Times New Roman"/>
          <w:sz w:val="20"/>
          <w:szCs w:val="20"/>
        </w:rPr>
        <w:t xml:space="preserve"> es el proceso de agrupación en una superficie llamada palé de una serie de productos para constituir una unidad de carga</w:t>
      </w:r>
      <w:r>
        <w:rPr>
          <w:rFonts w:ascii="Times New Roman" w:hAnsi="Times New Roman"/>
          <w:sz w:val="20"/>
          <w:szCs w:val="20"/>
        </w:rPr>
        <w:t>.</w:t>
      </w: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60D10" w:rsidRPr="00B60D10" w:rsidRDefault="00C375EF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B60D10">
        <w:rPr>
          <w:rFonts w:ascii="Times New Roman" w:hAnsi="Times New Roman" w:cs="Times New Roman"/>
          <w:b/>
          <w:sz w:val="20"/>
          <w:szCs w:val="20"/>
        </w:rPr>
        <w:t>. Señale las condiciones que deben cumplir las unidades de carga en relación con el transporte.</w:t>
      </w:r>
    </w:p>
    <w:p w:rsidR="00B60D10" w:rsidRDefault="00B60D10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5528"/>
      </w:tblGrid>
      <w:tr w:rsidR="00B60D10" w:rsidTr="00B60D10">
        <w:tc>
          <w:tcPr>
            <w:tcW w:w="421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sym w:font="Wingdings 2" w:char="F0A3"/>
            </w:r>
          </w:p>
        </w:tc>
        <w:tc>
          <w:tcPr>
            <w:tcW w:w="5528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No mezclar diferentes mercancías</w:t>
            </w:r>
            <w:r w:rsidR="000B560A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.</w:t>
            </w:r>
          </w:p>
        </w:tc>
      </w:tr>
      <w:tr w:rsidR="00B60D10" w:rsidTr="00B60D10">
        <w:tc>
          <w:tcPr>
            <w:tcW w:w="421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sym w:font="Wingdings 2" w:char="F052"/>
            </w:r>
          </w:p>
        </w:tc>
        <w:tc>
          <w:tcPr>
            <w:tcW w:w="5528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Verticalidad de la mercancía</w:t>
            </w:r>
            <w:r w:rsidR="000B560A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.</w:t>
            </w:r>
          </w:p>
        </w:tc>
      </w:tr>
      <w:tr w:rsidR="00B60D10" w:rsidTr="00B60D10">
        <w:tc>
          <w:tcPr>
            <w:tcW w:w="421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sym w:font="Wingdings 2" w:char="F052"/>
            </w:r>
          </w:p>
        </w:tc>
        <w:tc>
          <w:tcPr>
            <w:tcW w:w="5528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B60D10"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t>Respetar la altura de la carga y peso máximo de la unidad de carga</w:t>
            </w:r>
            <w:r w:rsidR="000B560A">
              <w:rPr>
                <w:rFonts w:ascii="Times New Roman" w:eastAsia="Calibri" w:hAnsi="Times New Roman" w:cs="Times New Roman"/>
                <w:sz w:val="20"/>
                <w:szCs w:val="20"/>
                <w:lang w:val="es-ES_tradnl"/>
              </w:rPr>
              <w:t>.</w:t>
            </w:r>
          </w:p>
        </w:tc>
      </w:tr>
      <w:tr w:rsidR="00B60D10" w:rsidTr="00B60D10">
        <w:tc>
          <w:tcPr>
            <w:tcW w:w="421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sym w:font="Wingdings 2" w:char="F052"/>
            </w:r>
          </w:p>
        </w:tc>
        <w:tc>
          <w:tcPr>
            <w:tcW w:w="5528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Fijación de la unidad de carga al vehículo</w:t>
            </w:r>
            <w:r w:rsidR="000B560A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.</w:t>
            </w:r>
          </w:p>
        </w:tc>
      </w:tr>
      <w:tr w:rsidR="00B60D10" w:rsidTr="00B60D10">
        <w:tc>
          <w:tcPr>
            <w:tcW w:w="421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sym w:font="Wingdings 2" w:char="F052"/>
            </w:r>
          </w:p>
        </w:tc>
        <w:tc>
          <w:tcPr>
            <w:tcW w:w="5528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Colocación de dispositivos para evitar pérdidas de estabilidad</w:t>
            </w:r>
            <w:r w:rsidR="000B560A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.</w:t>
            </w:r>
          </w:p>
        </w:tc>
      </w:tr>
      <w:tr w:rsidR="00B60D10" w:rsidTr="00B60D10">
        <w:tc>
          <w:tcPr>
            <w:tcW w:w="421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sym w:font="Wingdings 2" w:char="F0A3"/>
            </w:r>
          </w:p>
        </w:tc>
        <w:tc>
          <w:tcPr>
            <w:tcW w:w="5528" w:type="dxa"/>
          </w:tcPr>
          <w:p w:rsidR="00B60D10" w:rsidRDefault="00B60D10" w:rsidP="009003E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Mover la carga a velocidad adecuada</w:t>
            </w:r>
            <w:r w:rsidR="000B560A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.</w:t>
            </w:r>
          </w:p>
        </w:tc>
      </w:tr>
    </w:tbl>
    <w:p w:rsidR="00B60D10" w:rsidRDefault="00B60D10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60D10" w:rsidRPr="004D5A91" w:rsidRDefault="00C375EF" w:rsidP="009003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B60D10" w:rsidRPr="004D5A9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4D5A91" w:rsidRPr="004D5A91">
        <w:rPr>
          <w:rFonts w:ascii="Times New Roman" w:hAnsi="Times New Roman" w:cs="Times New Roman"/>
          <w:b/>
          <w:sz w:val="20"/>
          <w:szCs w:val="20"/>
        </w:rPr>
        <w:t>Relacione los tipos de envase con su definición</w:t>
      </w:r>
      <w:r w:rsidR="00DB589D">
        <w:rPr>
          <w:rFonts w:ascii="Times New Roman" w:hAnsi="Times New Roman" w:cs="Times New Roman"/>
          <w:b/>
          <w:sz w:val="20"/>
          <w:szCs w:val="20"/>
        </w:rPr>
        <w:t>.</w:t>
      </w:r>
    </w:p>
    <w:p w:rsidR="00B60D10" w:rsidRDefault="00B60D10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D5A91" w:rsidRDefault="004D5A91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ES"/>
        </w:rPr>
        <w:lastRenderedPageBreak/>
        <mc:AlternateContent>
          <mc:Choice Requires="wpc">
            <w:drawing>
              <wp:inline distT="0" distB="0" distL="0" distR="0">
                <wp:extent cx="5400040" cy="1913369"/>
                <wp:effectExtent l="0" t="0" r="0" b="0"/>
                <wp:docPr id="2" name="Lienz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Cuadro de texto 3"/>
                        <wps:cNvSpPr txBox="1"/>
                        <wps:spPr>
                          <a:xfrm>
                            <a:off x="158566" y="200794"/>
                            <a:ext cx="856259" cy="2801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5A91" w:rsidRPr="004D5A91" w:rsidRDefault="004D5A91" w:rsidP="004D5A91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Bidones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3"/>
                        <wps:cNvSpPr txBox="1"/>
                        <wps:spPr>
                          <a:xfrm>
                            <a:off x="158684" y="602673"/>
                            <a:ext cx="856141" cy="2800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5A91" w:rsidRPr="004D5A91" w:rsidRDefault="004D5A91" w:rsidP="004D5A9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Box palé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3"/>
                        <wps:cNvSpPr txBox="1"/>
                        <wps:spPr>
                          <a:xfrm>
                            <a:off x="169429" y="1020112"/>
                            <a:ext cx="855968" cy="2800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5A91" w:rsidRPr="004D5A91" w:rsidRDefault="004D5A91" w:rsidP="004D5A9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Briks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3"/>
                        <wps:cNvSpPr txBox="1"/>
                        <wps:spPr>
                          <a:xfrm>
                            <a:off x="185286" y="1411132"/>
                            <a:ext cx="850682" cy="2800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5A91" w:rsidRPr="004D5A91" w:rsidRDefault="004D5A91" w:rsidP="004D5A91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Blíster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7"/>
                        <wps:cNvSpPr txBox="1"/>
                        <wps:spPr>
                          <a:xfrm>
                            <a:off x="1908083" y="121567"/>
                            <a:ext cx="3308754" cy="3911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5A91" w:rsidRPr="004D5A91" w:rsidRDefault="004D5A91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>E</w:t>
                              </w:r>
                              <w:r w:rsidRPr="004D5A91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val="es-ES_tradnl"/>
                                </w:rPr>
                                <w:t>nvase de plástico con cavidades en forma de ampollas donde se aloja el producto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7"/>
                        <wps:cNvSpPr txBox="1"/>
                        <wps:spPr>
                          <a:xfrm>
                            <a:off x="1924232" y="549833"/>
                            <a:ext cx="3308350" cy="27999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5A91" w:rsidRPr="004D5A91" w:rsidRDefault="004D5A91" w:rsidP="004D5A91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Envases opacos adecuados para la conservación de líquidos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7"/>
                        <wps:cNvSpPr txBox="1"/>
                        <wps:spPr>
                          <a:xfrm>
                            <a:off x="1924231" y="881983"/>
                            <a:ext cx="3329605" cy="5081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5A91" w:rsidRPr="004D5A91" w:rsidRDefault="004D5A91" w:rsidP="004D5A9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  <w:lang w:val="es-ES_tradnl" w:eastAsia="en-US"/>
                                </w:rPr>
                                <w:t>E</w:t>
                              </w:r>
                              <w:r w:rsidRPr="004D5A91">
                                <w:rPr>
                                  <w:rFonts w:eastAsia="Calibri"/>
                                  <w:sz w:val="20"/>
                                  <w:szCs w:val="20"/>
                                  <w:lang w:val="es-ES_tradnl" w:eastAsia="en-US"/>
                                </w:rPr>
                                <w:t>mbalaje de grandes dimensiones fabricado en cartón corrugado y cuyas dimensiones coinciden con el del palé que lo transporta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uadro de texto 7"/>
                        <wps:cNvSpPr txBox="1"/>
                        <wps:spPr>
                          <a:xfrm>
                            <a:off x="1924232" y="1437961"/>
                            <a:ext cx="3308350" cy="390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5A91" w:rsidRPr="004D5A91" w:rsidRDefault="004D5A91" w:rsidP="004D5A91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  <w:lang w:val="es-ES_tradnl" w:eastAsia="en-US"/>
                                </w:rPr>
                                <w:t xml:space="preserve">Envases de forma cilíndrica </w:t>
                              </w:r>
                              <w:r w:rsidRPr="004D5A91">
                                <w:rPr>
                                  <w:rFonts w:eastAsia="Calibri"/>
                                  <w:sz w:val="20"/>
                                  <w:szCs w:val="20"/>
                                  <w:lang w:val="es-ES_tradnl" w:eastAsia="en-US"/>
                                </w:rPr>
                                <w:t>adecuados para conservar productos químicos en estado líquido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onector recto de flecha 11"/>
                        <wps:cNvCnPr>
                          <a:endCxn id="10" idx="1"/>
                        </wps:cNvCnPr>
                        <wps:spPr>
                          <a:xfrm>
                            <a:off x="1025397" y="354131"/>
                            <a:ext cx="898835" cy="1278995"/>
                          </a:xfrm>
                          <a:prstGeom prst="straightConnector1">
                            <a:avLst/>
                          </a:prstGeom>
                          <a:ln w="31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ctor recto de flecha 12"/>
                        <wps:cNvCnPr>
                          <a:endCxn id="7" idx="1"/>
                        </wps:cNvCnPr>
                        <wps:spPr>
                          <a:xfrm flipV="1">
                            <a:off x="1046539" y="317114"/>
                            <a:ext cx="861544" cy="1231551"/>
                          </a:xfrm>
                          <a:prstGeom prst="straightConnector1">
                            <a:avLst/>
                          </a:prstGeom>
                          <a:ln w="31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ector recto de flecha 13"/>
                        <wps:cNvCnPr>
                          <a:endCxn id="9" idx="1"/>
                        </wps:cNvCnPr>
                        <wps:spPr>
                          <a:xfrm>
                            <a:off x="1025397" y="724120"/>
                            <a:ext cx="898834" cy="41185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Conector recto de flecha 14"/>
                        <wps:cNvCnPr>
                          <a:stCxn id="5" idx="3"/>
                          <a:endCxn id="8" idx="1"/>
                        </wps:cNvCnPr>
                        <wps:spPr>
                          <a:xfrm flipV="1">
                            <a:off x="1025397" y="689791"/>
                            <a:ext cx="898835" cy="470269"/>
                          </a:xfrm>
                          <a:prstGeom prst="straightConnector1">
                            <a:avLst/>
                          </a:prstGeom>
                          <a:ln w="31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2" o:spid="_x0000_s1026" editas="canvas" style="width:425.2pt;height:150.65pt;mso-position-horizontal-relative:char;mso-position-vertical-relative:line" coordsize="54000,19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191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" o:spid="_x0000_s1028" type="#_x0000_t202" style="position:absolute;left:1585;top:2007;width:8563;height:28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4D5A91" w:rsidRPr="004D5A91" w:rsidRDefault="004D5A91" w:rsidP="004D5A91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Bidones</w:t>
                        </w:r>
                      </w:p>
                    </w:txbxContent>
                  </v:textbox>
                </v:shape>
                <v:shape id="Cuadro de texto 3" o:spid="_x0000_s1029" type="#_x0000_t202" style="position:absolute;left:1586;top:6026;width:8562;height:28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4D5A91" w:rsidRPr="004D5A91" w:rsidRDefault="004D5A91" w:rsidP="004D5A91">
                        <w:pPr>
                          <w:pStyle w:val="NormalWeb"/>
                          <w:spacing w:before="0" w:beforeAutospacing="0" w:after="0" w:afterAutospacing="0" w:line="256" w:lineRule="auto"/>
                          <w:rPr>
                            <w:sz w:val="20"/>
                          </w:rPr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Box palé</w:t>
                        </w:r>
                      </w:p>
                    </w:txbxContent>
                  </v:textbox>
                </v:shape>
                <v:shape id="Cuadro de texto 3" o:spid="_x0000_s1030" type="#_x0000_t202" style="position:absolute;left:1694;top:10201;width:8559;height:2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4D5A91" w:rsidRPr="004D5A91" w:rsidRDefault="004D5A91" w:rsidP="004D5A91">
                        <w:pPr>
                          <w:pStyle w:val="NormalWeb"/>
                          <w:spacing w:before="0" w:beforeAutospacing="0" w:after="0" w:afterAutospacing="0" w:line="256" w:lineRule="auto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Briks</w:t>
                        </w:r>
                        <w:proofErr w:type="spellEnd"/>
                      </w:p>
                    </w:txbxContent>
                  </v:textbox>
                </v:shape>
                <v:shape id="Cuadro de texto 3" o:spid="_x0000_s1031" type="#_x0000_t202" style="position:absolute;left:1852;top:14111;width:8507;height:2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4D5A91" w:rsidRPr="004D5A91" w:rsidRDefault="004D5A91" w:rsidP="004D5A91">
                        <w:pPr>
                          <w:pStyle w:val="NormalWeb"/>
                          <w:spacing w:before="0" w:beforeAutospacing="0" w:after="0" w:afterAutospacing="0" w:line="256" w:lineRule="auto"/>
                          <w:rPr>
                            <w:sz w:val="20"/>
                          </w:rPr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Blíster</w:t>
                        </w:r>
                      </w:p>
                    </w:txbxContent>
                  </v:textbox>
                </v:shape>
                <v:shape id="Cuadro de texto 7" o:spid="_x0000_s1032" type="#_x0000_t202" style="position:absolute;left:19080;top:1215;width:33088;height:3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8basEA&#10;AADaAAAADwAAAGRycy9kb3ducmV2LnhtbESPQWsCMRSE74X+h/AKvdVse6jrahRbbCl4qornx+aZ&#10;BDcvS5Ku23/fCEKPw8x8wyxWo+/EQDG5wAqeJxUI4jZox0bBYf/xVINIGVljF5gU/FKC1fL+boGN&#10;Dhf+pmGXjSgQTg0qsDn3jZSpteQxTUJPXLxTiB5zkdFIHfFS4L6TL1X1Kj06LgsWe3q31J53P17B&#10;5s3MTFtjtJtaOzeMx9PWfCr1+DCu5yAyjfk/fGt/aQVTuF4pN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vG2rBAAAA2gAAAA8AAAAAAAAAAAAAAAAAmAIAAGRycy9kb3du&#10;cmV2LnhtbFBLBQYAAAAABAAEAPUAAACGAwAAAAA=&#10;" fillcolor="white [3201]" strokeweight=".5pt">
                  <v:textbox>
                    <w:txbxContent>
                      <w:p w:rsidR="004D5A91" w:rsidRPr="004D5A91" w:rsidRDefault="004D5A91">
                        <w:pPr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lang w:val="es-ES_tradnl"/>
                          </w:rPr>
                          <w:t>E</w:t>
                        </w:r>
                        <w:r w:rsidRPr="004D5A91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  <w:lang w:val="es-ES_tradnl"/>
                          </w:rPr>
                          <w:t>nvase de plástico con cavidades en forma de ampollas donde se aloja el producto</w:t>
                        </w:r>
                      </w:p>
                    </w:txbxContent>
                  </v:textbox>
                </v:shape>
                <v:shape id="Cuadro de texto 7" o:spid="_x0000_s1033" type="#_x0000_t202" style="position:absolute;left:19242;top:5498;width:33083;height:2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weight=".5pt">
                  <v:textbox>
                    <w:txbxContent>
                      <w:p w:rsidR="004D5A91" w:rsidRPr="004D5A91" w:rsidRDefault="004D5A91" w:rsidP="004D5A91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Envases opacos adecuados para la conservación de líquidos</w:t>
                        </w:r>
                      </w:p>
                    </w:txbxContent>
                  </v:textbox>
                </v:shape>
                <v:shape id="Cuadro de texto 7" o:spid="_x0000_s1034" type="#_x0000_t202" style="position:absolute;left:19242;top:8819;width:33296;height:5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qg8AA&#10;AADaAAAADwAAAGRycy9kb3ducmV2LnhtbESPQWsCMRSE74X+h/AEbzVrD7KuRtFiS6EntfT82DyT&#10;4OZlSdJ1+++bQsHjMDPfMOvt6DsxUEwusIL5rAJB3Abt2Cj4PL8+1SBSRtbYBSYFP5Rgu3l8WGOj&#10;w42PNJyyEQXCqUEFNue+kTK1ljymWeiJi3cJ0WMuMhqpI94K3HfyuaoW0qPjsmCxpxdL7fX07RUc&#10;9mZp2hqjPdTauWH8unyYN6Wmk3G3ApFpzPfwf/tdK1jC35Vy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Lwqg8AAAADaAAAADwAAAAAAAAAAAAAAAACYAgAAZHJzL2Rvd25y&#10;ZXYueG1sUEsFBgAAAAAEAAQA9QAAAIUDAAAAAA==&#10;" fillcolor="white [3201]" strokeweight=".5pt">
                  <v:textbox>
                    <w:txbxContent>
                      <w:p w:rsidR="004D5A91" w:rsidRPr="004D5A91" w:rsidRDefault="004D5A91" w:rsidP="004D5A91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</w:rPr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  <w:lang w:val="es-ES_tradnl" w:eastAsia="en-US"/>
                          </w:rPr>
                          <w:t>E</w:t>
                        </w:r>
                        <w:r w:rsidRPr="004D5A91">
                          <w:rPr>
                            <w:rFonts w:eastAsia="Calibri"/>
                            <w:sz w:val="20"/>
                            <w:szCs w:val="20"/>
                            <w:lang w:val="es-ES_tradnl" w:eastAsia="en-US"/>
                          </w:rPr>
                          <w:t>mbalaje de grandes dimensiones fabricado en cartón corrugado y cuyas dimensiones coinciden con el del palé que lo transporta</w:t>
                        </w:r>
                      </w:p>
                    </w:txbxContent>
                  </v:textbox>
                </v:shape>
                <v:shape id="Cuadro de texto 7" o:spid="_x0000_s1035" type="#_x0000_t202" style="position:absolute;left:19242;top:14379;width:3308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<v:textbox>
                    <w:txbxContent>
                      <w:p w:rsidR="004D5A91" w:rsidRPr="004D5A91" w:rsidRDefault="004D5A91" w:rsidP="004D5A91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sz w:val="20"/>
                          </w:rPr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  <w:lang w:val="es-ES_tradnl" w:eastAsia="en-US"/>
                          </w:rPr>
                          <w:t xml:space="preserve">Envases de forma cilíndrica </w:t>
                        </w:r>
                        <w:r w:rsidRPr="004D5A91">
                          <w:rPr>
                            <w:rFonts w:eastAsia="Calibri"/>
                            <w:sz w:val="20"/>
                            <w:szCs w:val="20"/>
                            <w:lang w:val="es-ES_tradnl" w:eastAsia="en-US"/>
                          </w:rPr>
                          <w:t>adecuados para conservar productos químicos en estado líquido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1" o:spid="_x0000_s1036" type="#_x0000_t32" style="position:absolute;left:10253;top:3541;width:8989;height:127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lJd8IAAADbAAAADwAAAGRycy9kb3ducmV2LnhtbERPTWvCQBC9F/wPywi9NZvUUkJ0lSAI&#10;1p6qYq/T7JgNZmdDdmvS/vquIPQ2j/c5i9VoW3Gl3jeOFWRJCoK4crrhWsHxsHnKQfiArLF1TAp+&#10;yMNqOXlYYKHdwB903YdaxBD2BSowIXSFlL4yZNEnriOO3Nn1FkOEfS11j0MMt618TtNXabHh2GCw&#10;o7Wh6rL/tgp2vy87OduarzA4fbqU+Wf39j5T6nE6lnMQgcbwL767tzrOz+D2Szx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flJd8IAAADbAAAADwAAAAAAAAAAAAAA&#10;AAChAgAAZHJzL2Rvd25yZXYueG1sUEsFBgAAAAAEAAQA+QAAAJADAAAAAA==&#10;" strokecolor="black [3200]" strokeweight=".25pt">
                  <v:stroke endarrow="block" joinstyle="miter"/>
                </v:shape>
                <v:shape id="Conector recto de flecha 12" o:spid="_x0000_s1037" type="#_x0000_t32" style="position:absolute;left:10465;top:3171;width:8615;height:123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waxMIAAADbAAAADwAAAGRycy9kb3ducmV2LnhtbERPTWvCQBC9F/wPywje6qaCtURXKa0R&#10;L0VNBa9Ddkyi2dmwu2r8992C4G0e73Nmi8404krO15YVvA0TEMSF1TWXCva/2esHCB+QNTaWScGd&#10;PCzmvZcZptreeEfXPJQihrBPUUEVQptK6YuKDPqhbYkjd7TOYIjQlVI7vMVw08hRkrxLgzXHhgpb&#10;+qqoOOcXo2Ay3hzcdrmhnzb5vm/lKjutxplSg373OQURqAtP8cO91nH+CP5/iQfI+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QwaxMIAAADbAAAADwAAAAAAAAAAAAAA&#10;AAChAgAAZHJzL2Rvd25yZXYueG1sUEsFBgAAAAAEAAQA+QAAAJADAAAAAA==&#10;" strokecolor="black [3200]" strokeweight=".25pt">
                  <v:stroke endarrow="block" joinstyle="miter"/>
                </v:shape>
                <v:shape id="Conector recto de flecha 13" o:spid="_x0000_s1038" type="#_x0000_t32" style="position:absolute;left:10253;top:7241;width:8989;height:41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oXFcAAAADbAAAADwAAAGRycy9kb3ducmV2LnhtbERPS4vCMBC+L/gfwgje1lRFWWtT8YHg&#10;7m1VPA/N2BabSW2irf9+Iwh7m4/vOcmyM5V4UONKywpGwwgEcWZ1ybmC03H3+QXCeWSNlWVS8CQH&#10;y7T3kWCsbcu/9Dj4XIQQdjEqKLyvYyldVpBBN7Q1ceAutjHoA2xyqRtsQ7ip5DiKZtJgyaGhwJo2&#10;BWXXw90oaNGf5+tVftust9/7blrdZsfTj1KDfrdagPDU+X/x273XYf4EXr+EA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K6FxXAAAAA2wAAAA8AAAAAAAAAAAAAAAAA&#10;oQIAAGRycy9kb3ducmV2LnhtbFBLBQYAAAAABAAEAPkAAACOAwAAAAA=&#10;" strokecolor="black [3200]" strokeweight=".5pt">
                  <v:stroke endarrow="block" joinstyle="miter"/>
                </v:shape>
                <v:shape id="Conector recto de flecha 14" o:spid="_x0000_s1039" type="#_x0000_t32" style="position:absolute;left:10253;top:6897;width:8989;height:470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knK8IAAADbAAAADwAAAGRycy9kb3ducmV2LnhtbERPS2vCQBC+F/oflil4q5sWUyV1FalG&#10;vBSf4HXITpPU7GzYXU38991Cobf5+J4znfemETdyvras4GWYgCAurK65VHA65s8TED4ga2wsk4I7&#10;eZjPHh+mmGnb8Z5uh1CKGMI+QwVVCG0mpS8qMuiHtiWO3Jd1BkOErpTaYRfDTSNfk+RNGqw5NlTY&#10;0kdFxeVwNQrG6fbsdqstfbbJ8r6T6/x7neZKDZ76xTuIQH34F/+5NzrOH8HvL/EAO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knK8IAAADbAAAADwAAAAAAAAAAAAAA&#10;AAChAgAAZHJzL2Rvd25yZXYueG1sUEsFBgAAAAAEAAQA+QAAAJADAAAAAA==&#10;" strokecolor="black [3200]" strokeweight=".25pt">
                  <v:stroke endarrow="block" joinstyle="miter"/>
                </v:shape>
                <w10:anchorlock/>
              </v:group>
            </w:pict>
          </mc:Fallback>
        </mc:AlternateContent>
      </w:r>
    </w:p>
    <w:p w:rsidR="004D5A91" w:rsidRDefault="004D5A91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62719" w:rsidRPr="007E484E" w:rsidRDefault="00362719" w:rsidP="009003E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E484E">
        <w:rPr>
          <w:rFonts w:ascii="Times New Roman" w:hAnsi="Times New Roman"/>
          <w:b/>
          <w:sz w:val="20"/>
          <w:szCs w:val="20"/>
        </w:rPr>
        <w:t>7.</w:t>
      </w:r>
      <w:r w:rsidR="007E484E" w:rsidRPr="007E484E">
        <w:rPr>
          <w:rFonts w:ascii="Times New Roman" w:hAnsi="Times New Roman"/>
          <w:b/>
          <w:sz w:val="20"/>
          <w:szCs w:val="20"/>
        </w:rPr>
        <w:t xml:space="preserve"> ¿Cuáles son los tipos de carretilla que no necesitan señales acústicas o visuales de emergencia?</w:t>
      </w:r>
    </w:p>
    <w:p w:rsidR="00362719" w:rsidRDefault="00362719" w:rsidP="009003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62719" w:rsidRDefault="007E484E" w:rsidP="009003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 Carretillas frontales y retráctiles.</w:t>
      </w: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Transpaleta y apilador.</w:t>
      </w: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Recogepedidos y apilador.</w:t>
      </w:r>
    </w:p>
    <w:p w:rsidR="00362719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 Todas las carretillas deben llevar señales acústicas y luminosas.</w:t>
      </w: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b.</w:t>
      </w: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484E" w:rsidRP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E484E">
        <w:rPr>
          <w:rFonts w:ascii="Times New Roman" w:hAnsi="Times New Roman" w:cs="Times New Roman"/>
          <w:b/>
          <w:sz w:val="20"/>
          <w:szCs w:val="20"/>
        </w:rPr>
        <w:t>8. Complete el siguiente enunciado.</w:t>
      </w: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484E" w:rsidRPr="007E484E" w:rsidRDefault="007E484E" w:rsidP="007E484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E484E">
        <w:rPr>
          <w:rFonts w:ascii="Times New Roman" w:hAnsi="Times New Roman" w:cs="Times New Roman"/>
          <w:sz w:val="20"/>
          <w:szCs w:val="20"/>
        </w:rPr>
        <w:t xml:space="preserve">Siempre se debe acudir al </w:t>
      </w:r>
      <w:r w:rsidRPr="007E484E">
        <w:rPr>
          <w:rFonts w:ascii="Times New Roman" w:hAnsi="Times New Roman" w:cs="Times New Roman"/>
          <w:sz w:val="20"/>
          <w:szCs w:val="20"/>
          <w:u w:val="single"/>
        </w:rPr>
        <w:t>manual de mantenimiento</w:t>
      </w:r>
      <w:r w:rsidRPr="007E484E">
        <w:rPr>
          <w:rFonts w:ascii="Times New Roman" w:hAnsi="Times New Roman" w:cs="Times New Roman"/>
          <w:sz w:val="20"/>
          <w:szCs w:val="20"/>
        </w:rPr>
        <w:t xml:space="preserve"> proporcionado por el fabricante de la carretilla donde se especifica qué operaciones se deben realizar y con qué periodicidad. Además, se deben respetar los plazos de tiempo establecidos por el fabricante de la máquina para la realización de su </w:t>
      </w:r>
      <w:r w:rsidRPr="007E484E">
        <w:rPr>
          <w:rFonts w:ascii="Times New Roman" w:hAnsi="Times New Roman" w:cs="Times New Roman"/>
          <w:sz w:val="20"/>
          <w:szCs w:val="20"/>
          <w:u w:val="single"/>
        </w:rPr>
        <w:t>mantenimiento preventivo.</w:t>
      </w: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484E" w:rsidRPr="00F144F1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144F1">
        <w:rPr>
          <w:rFonts w:ascii="Times New Roman" w:hAnsi="Times New Roman" w:cs="Times New Roman"/>
          <w:b/>
          <w:sz w:val="20"/>
          <w:szCs w:val="20"/>
        </w:rPr>
        <w:t>9. Indique los tres puntos de apoyo fundamentales para el acceso a una carretilla elevadora.</w:t>
      </w: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1.º Coger el asa con la mano izquierda</w:t>
      </w:r>
      <w:r w:rsidR="00C375EF">
        <w:rPr>
          <w:rFonts w:ascii="Times New Roman" w:hAnsi="Times New Roman" w:cs="Times New Roman"/>
          <w:sz w:val="20"/>
          <w:szCs w:val="20"/>
        </w:rPr>
        <w:t>.</w:t>
      </w: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2.º Sujetarse al asiento con la mano derecha</w:t>
      </w:r>
      <w:r w:rsidR="00C375EF">
        <w:rPr>
          <w:rFonts w:ascii="Times New Roman" w:hAnsi="Times New Roman" w:cs="Times New Roman"/>
          <w:sz w:val="20"/>
          <w:szCs w:val="20"/>
        </w:rPr>
        <w:t>.</w:t>
      </w: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3.º</w:t>
      </w:r>
      <w:r w:rsidR="00F144F1">
        <w:rPr>
          <w:rFonts w:ascii="Times New Roman" w:hAnsi="Times New Roman" w:cs="Times New Roman"/>
          <w:sz w:val="20"/>
          <w:szCs w:val="20"/>
        </w:rPr>
        <w:t xml:space="preserve"> Colocar el pie izquierdo en el estribo</w:t>
      </w:r>
      <w:r w:rsidR="00C375EF">
        <w:rPr>
          <w:rFonts w:ascii="Times New Roman" w:hAnsi="Times New Roman" w:cs="Times New Roman"/>
          <w:sz w:val="20"/>
          <w:szCs w:val="20"/>
        </w:rPr>
        <w:t>.</w:t>
      </w: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484E" w:rsidRPr="00F144F1" w:rsidRDefault="00F144F1" w:rsidP="009003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144F1">
        <w:rPr>
          <w:rFonts w:ascii="Times New Roman" w:hAnsi="Times New Roman" w:cs="Times New Roman"/>
          <w:b/>
          <w:sz w:val="20"/>
          <w:szCs w:val="20"/>
        </w:rPr>
        <w:t>10. Describa la maniobra de elevación de la carga.</w:t>
      </w:r>
    </w:p>
    <w:p w:rsidR="007E484E" w:rsidRDefault="007E484E" w:rsidP="009003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4F1" w:rsidRPr="00F144F1" w:rsidRDefault="00F144F1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 comienza por a</w:t>
      </w:r>
      <w:r w:rsidRPr="00F144F1">
        <w:rPr>
          <w:rFonts w:ascii="Times New Roman" w:hAnsi="Times New Roman" w:cs="Times New Roman"/>
          <w:sz w:val="20"/>
          <w:szCs w:val="20"/>
        </w:rPr>
        <w:t>cercar la carretilla al lugar previsto para el apilado de la carga, deteniéndose a unos 20 o 30 cm de la pila. El eje longitudinal de la carretilla debe quedar perpendicular al eje longitudinal de la pila. La carga a depositar debe estar centrada respecto a la pila.</w:t>
      </w:r>
      <w:r>
        <w:rPr>
          <w:rFonts w:ascii="Times New Roman" w:hAnsi="Times New Roman" w:cs="Times New Roman"/>
          <w:sz w:val="20"/>
          <w:szCs w:val="20"/>
        </w:rPr>
        <w:t xml:space="preserve"> A continuación se hace la</w:t>
      </w:r>
      <w:r w:rsidRPr="00F144F1">
        <w:rPr>
          <w:rFonts w:ascii="Times New Roman" w:hAnsi="Times New Roman" w:cs="Times New Roman"/>
          <w:sz w:val="20"/>
          <w:szCs w:val="20"/>
        </w:rPr>
        <w:t xml:space="preserve"> maniobra de elevación de la carga a la altura necesaria, siempre por encima de la última carga ya apilada.</w:t>
      </w:r>
    </w:p>
    <w:p w:rsidR="00F144F1" w:rsidRPr="00F144F1" w:rsidRDefault="00F144F1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4F1" w:rsidRPr="00F144F1" w:rsidRDefault="00F144F1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Es necesario m</w:t>
      </w:r>
      <w:r w:rsidRPr="00F144F1">
        <w:rPr>
          <w:rFonts w:ascii="Times New Roman" w:hAnsi="Times New Roman" w:cs="Times New Roman"/>
          <w:sz w:val="20"/>
          <w:szCs w:val="20"/>
        </w:rPr>
        <w:t>over la carretilla hacia adelante, hasta detenerla justo f</w:t>
      </w:r>
      <w:r>
        <w:rPr>
          <w:rFonts w:ascii="Times New Roman" w:hAnsi="Times New Roman" w:cs="Times New Roman"/>
          <w:sz w:val="20"/>
          <w:szCs w:val="20"/>
        </w:rPr>
        <w:t xml:space="preserve">rente a la ubicación de la pila y al mismo tiempo se inclina el mástil </w:t>
      </w:r>
      <w:r w:rsidRPr="00F144F1">
        <w:rPr>
          <w:rFonts w:ascii="Times New Roman" w:hAnsi="Times New Roman" w:cs="Times New Roman"/>
          <w:sz w:val="20"/>
          <w:szCs w:val="20"/>
        </w:rPr>
        <w:t>hacia adelante para que las horquillas queden completamente horizontales.</w:t>
      </w:r>
    </w:p>
    <w:p w:rsidR="00F144F1" w:rsidRPr="00F144F1" w:rsidRDefault="00F144F1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4F1" w:rsidRPr="00F144F1" w:rsidRDefault="00F144F1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F1">
        <w:rPr>
          <w:rFonts w:ascii="Times New Roman" w:hAnsi="Times New Roman" w:cs="Times New Roman"/>
          <w:sz w:val="20"/>
          <w:szCs w:val="20"/>
        </w:rPr>
        <w:t>Si la carga a depositar se encuentra ligeramente descentrada respecto a la pila, hace</w:t>
      </w:r>
      <w:r>
        <w:rPr>
          <w:rFonts w:ascii="Times New Roman" w:hAnsi="Times New Roman" w:cs="Times New Roman"/>
          <w:sz w:val="20"/>
          <w:szCs w:val="20"/>
        </w:rPr>
        <w:t xml:space="preserve">r uso del dispositivo centrador y una vez centrada se baja </w:t>
      </w:r>
      <w:r w:rsidRPr="00F144F1">
        <w:rPr>
          <w:rFonts w:ascii="Times New Roman" w:hAnsi="Times New Roman" w:cs="Times New Roman"/>
          <w:sz w:val="20"/>
          <w:szCs w:val="20"/>
        </w:rPr>
        <w:t>lentamente la carga hasta que se encuentre completamente apoyada en la pila.</w:t>
      </w:r>
    </w:p>
    <w:p w:rsidR="00F144F1" w:rsidRPr="00F144F1" w:rsidRDefault="00F144F1" w:rsidP="00F144F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</w:p>
    <w:p w:rsidR="00F144F1" w:rsidRPr="00F144F1" w:rsidRDefault="00F144F1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F1">
        <w:rPr>
          <w:rFonts w:ascii="Times New Roman" w:hAnsi="Times New Roman" w:cs="Times New Roman"/>
          <w:sz w:val="20"/>
          <w:szCs w:val="20"/>
        </w:rPr>
        <w:t>Continuar bajando las horquillas hasta que queden libres</w:t>
      </w:r>
      <w:r>
        <w:rPr>
          <w:rFonts w:ascii="Times New Roman" w:hAnsi="Times New Roman" w:cs="Times New Roman"/>
          <w:sz w:val="20"/>
          <w:szCs w:val="20"/>
        </w:rPr>
        <w:t xml:space="preserve"> de la carga que llevaban y alejar</w:t>
      </w:r>
      <w:r w:rsidRPr="00F144F1">
        <w:rPr>
          <w:rFonts w:ascii="Times New Roman" w:hAnsi="Times New Roman" w:cs="Times New Roman"/>
          <w:sz w:val="20"/>
          <w:szCs w:val="20"/>
        </w:rPr>
        <w:t xml:space="preserve"> la carretilla marcha atrás, frenándola cuando se hayan extraído completamente las horquillas de los huecos del palé.</w:t>
      </w:r>
    </w:p>
    <w:p w:rsidR="00F144F1" w:rsidRPr="00F144F1" w:rsidRDefault="00F144F1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4F1" w:rsidRPr="00F144F1" w:rsidRDefault="00F144F1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4F1">
        <w:rPr>
          <w:rFonts w:ascii="Times New Roman" w:hAnsi="Times New Roman" w:cs="Times New Roman"/>
          <w:sz w:val="20"/>
          <w:szCs w:val="20"/>
        </w:rPr>
        <w:t>Si se ha hecho uso del centrador, colocar las horquillas perfectamente centradas respecto al eje de la carretilla.</w:t>
      </w:r>
    </w:p>
    <w:p w:rsidR="00F144F1" w:rsidRPr="00F144F1" w:rsidRDefault="00F144F1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44F1" w:rsidRPr="00F144F1" w:rsidRDefault="00F144F1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 último, i</w:t>
      </w:r>
      <w:r w:rsidRPr="00F144F1">
        <w:rPr>
          <w:rFonts w:ascii="Times New Roman" w:hAnsi="Times New Roman" w:cs="Times New Roman"/>
          <w:sz w:val="20"/>
          <w:szCs w:val="20"/>
        </w:rPr>
        <w:t>nclinar el m</w:t>
      </w:r>
      <w:r>
        <w:rPr>
          <w:rFonts w:ascii="Times New Roman" w:hAnsi="Times New Roman" w:cs="Times New Roman"/>
          <w:sz w:val="20"/>
          <w:szCs w:val="20"/>
        </w:rPr>
        <w:t>ástil completamente hacia atrás y b</w:t>
      </w:r>
      <w:r w:rsidRPr="00F144F1">
        <w:rPr>
          <w:rFonts w:ascii="Times New Roman" w:hAnsi="Times New Roman" w:cs="Times New Roman"/>
          <w:sz w:val="20"/>
          <w:szCs w:val="20"/>
        </w:rPr>
        <w:t>ajar las horquillas hasta que queden a unos 15 cm del suelo.</w:t>
      </w:r>
    </w:p>
    <w:p w:rsidR="00F144F1" w:rsidRDefault="00F144F1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63B53" w:rsidRPr="00063B53" w:rsidRDefault="00063B53" w:rsidP="00F144F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63B53">
        <w:rPr>
          <w:rFonts w:ascii="Times New Roman" w:hAnsi="Times New Roman" w:cs="Times New Roman"/>
          <w:b/>
          <w:sz w:val="20"/>
          <w:szCs w:val="20"/>
        </w:rPr>
        <w:lastRenderedPageBreak/>
        <w:t>1</w:t>
      </w:r>
      <w:r w:rsidR="00C375EF">
        <w:rPr>
          <w:rFonts w:ascii="Times New Roman" w:hAnsi="Times New Roman" w:cs="Times New Roman"/>
          <w:b/>
          <w:sz w:val="20"/>
          <w:szCs w:val="20"/>
        </w:rPr>
        <w:t>1</w:t>
      </w:r>
      <w:r w:rsidRPr="00063B53">
        <w:rPr>
          <w:rFonts w:ascii="Times New Roman" w:hAnsi="Times New Roman" w:cs="Times New Roman"/>
          <w:b/>
          <w:sz w:val="20"/>
          <w:szCs w:val="20"/>
        </w:rPr>
        <w:t>. Señale sin son verdaderas o falsas las siguientes afirmaciones.</w:t>
      </w:r>
    </w:p>
    <w:p w:rsidR="00063B53" w:rsidRDefault="00063B53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505" w:type="dxa"/>
        <w:tblInd w:w="123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425"/>
        <w:gridCol w:w="425"/>
      </w:tblGrid>
      <w:tr w:rsidR="00063B53" w:rsidRPr="00063B53" w:rsidTr="00AE38FA"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:rsidR="00063B53" w:rsidRPr="00063B53" w:rsidRDefault="00FB1FD6" w:rsidP="00063B53">
            <w:pPr>
              <w:tabs>
                <w:tab w:val="left" w:pos="17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63B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063B5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F</w:t>
            </w:r>
          </w:p>
        </w:tc>
      </w:tr>
      <w:tr w:rsidR="00063B53" w:rsidRPr="00063B53" w:rsidTr="00AE38FA"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A00319">
              <w:rPr>
                <w:rFonts w:ascii="Times New Roman" w:hAnsi="Times New Roman" w:cs="Times New Roman"/>
                <w:sz w:val="20"/>
                <w:szCs w:val="20"/>
              </w:rPr>
              <w:t xml:space="preserve">La colocación incorrecta de la carga en la carretilla puede dar lugar a vuelcos y </w:t>
            </w:r>
            <w:r w:rsidRPr="00063B53">
              <w:rPr>
                <w:rFonts w:ascii="Times New Roman" w:hAnsi="Times New Roman" w:cs="Times New Roman"/>
                <w:sz w:val="20"/>
                <w:szCs w:val="20"/>
              </w:rPr>
              <w:t>sobrecarga</w:t>
            </w:r>
            <w:r w:rsidRPr="00A00319">
              <w:rPr>
                <w:rFonts w:ascii="Times New Roman" w:hAnsi="Times New Roman" w:cs="Times New Roman"/>
                <w:sz w:val="20"/>
                <w:szCs w:val="20"/>
              </w:rPr>
              <w:t xml:space="preserve"> de la transpaleta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63B53" w:rsidRPr="00063B53" w:rsidTr="00AE38FA"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 c</w:t>
            </w:r>
            <w:r w:rsidRPr="00A00319">
              <w:rPr>
                <w:rFonts w:ascii="Times New Roman" w:hAnsi="Times New Roman" w:cs="Times New Roman"/>
                <w:sz w:val="20"/>
                <w:szCs w:val="20"/>
              </w:rPr>
              <w:t>olocación unitaria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mercancía se</w:t>
            </w:r>
            <w:r w:rsidRPr="00A00319">
              <w:rPr>
                <w:rFonts w:ascii="Times New Roman" w:hAnsi="Times New Roman" w:cs="Times New Roman"/>
                <w:sz w:val="20"/>
                <w:szCs w:val="20"/>
              </w:rPr>
              <w:t xml:space="preserve"> emplea para el almacenaje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0319">
              <w:rPr>
                <w:rFonts w:ascii="Times New Roman" w:hAnsi="Times New Roman" w:cs="Times New Roman"/>
                <w:sz w:val="20"/>
                <w:szCs w:val="20"/>
              </w:rPr>
              <w:t xml:space="preserve">de objetos de tamaño pequeño o medio y peso inferior 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A00319">
              <w:rPr>
                <w:rFonts w:ascii="Times New Roman" w:hAnsi="Times New Roman" w:cs="Times New Roman"/>
                <w:sz w:val="20"/>
                <w:szCs w:val="20"/>
              </w:rPr>
              <w:t> kg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  <w:tr w:rsidR="00063B53" w:rsidRPr="00063B53" w:rsidTr="00AE38FA"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A00319">
              <w:rPr>
                <w:rFonts w:ascii="Times New Roman" w:hAnsi="Times New Roman" w:cs="Times New Roman"/>
                <w:sz w:val="20"/>
                <w:szCs w:val="20"/>
              </w:rPr>
              <w:t>ara almacenar objetos largos, como perfilería, tubos, etc.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utiliza la conocida como colocación en estanterías catilever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63B53" w:rsidRPr="00063B53" w:rsidTr="00AE38FA"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La colocación de un implemento en la carretilla no supondrá una modificación en la capacidad de carga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63B53" w:rsidRPr="00063B53" w:rsidRDefault="00063B53" w:rsidP="00063B53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</w:tbl>
    <w:p w:rsidR="00063B53" w:rsidRDefault="00063B53" w:rsidP="00F144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75EF" w:rsidRPr="00063B53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63B53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063B53">
        <w:rPr>
          <w:rFonts w:ascii="Times New Roman" w:hAnsi="Times New Roman" w:cs="Times New Roman"/>
          <w:b/>
          <w:sz w:val="20"/>
          <w:szCs w:val="20"/>
        </w:rPr>
        <w:t>. Señale la opción correcta.</w:t>
      </w: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0319">
        <w:rPr>
          <w:rFonts w:ascii="Times New Roman" w:hAnsi="Times New Roman" w:cs="Times New Roman"/>
          <w:sz w:val="20"/>
          <w:szCs w:val="20"/>
        </w:rPr>
        <w:t>Las carretillas contrapesadas, en las que la carga se encuentra posicionada en voladizo respecto al punto de apoyo del</w:t>
      </w:r>
      <w:r>
        <w:rPr>
          <w:rFonts w:ascii="Times New Roman" w:hAnsi="Times New Roman" w:cs="Times New Roman"/>
          <w:sz w:val="20"/>
          <w:szCs w:val="20"/>
        </w:rPr>
        <w:t xml:space="preserve"> eje delantero, trabajan según:</w:t>
      </w: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 La ley de la frontalidad.</w:t>
      </w:r>
    </w:p>
    <w:p w:rsidR="00C375EF" w:rsidRPr="00A00319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b. Ley de la gravedad.</w:t>
      </w: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c. Ley de la tracción.</w:t>
      </w: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 Ley de la palanca.</w:t>
      </w: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d.</w:t>
      </w:r>
    </w:p>
    <w:p w:rsidR="00C375EF" w:rsidRDefault="00C375EF" w:rsidP="00C375E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375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89"/>
    <w:rsid w:val="00043FC5"/>
    <w:rsid w:val="00063B53"/>
    <w:rsid w:val="000B560A"/>
    <w:rsid w:val="001B70F3"/>
    <w:rsid w:val="00362719"/>
    <w:rsid w:val="004D5A91"/>
    <w:rsid w:val="005C3A55"/>
    <w:rsid w:val="007E484E"/>
    <w:rsid w:val="008C4F62"/>
    <w:rsid w:val="008F5C89"/>
    <w:rsid w:val="009003ED"/>
    <w:rsid w:val="00B378E8"/>
    <w:rsid w:val="00B60D10"/>
    <w:rsid w:val="00C375EF"/>
    <w:rsid w:val="00D54781"/>
    <w:rsid w:val="00DB589D"/>
    <w:rsid w:val="00DE5B75"/>
    <w:rsid w:val="00E5514F"/>
    <w:rsid w:val="00F144F1"/>
    <w:rsid w:val="00F3184D"/>
    <w:rsid w:val="00FB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CF6EB-39BA-4166-AB81-889D9168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60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D5A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7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75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Nartallo Pose</dc:creator>
  <cp:keywords/>
  <dc:description/>
  <cp:lastModifiedBy>Andrea Nartallo Pose</cp:lastModifiedBy>
  <cp:revision>10</cp:revision>
  <cp:lastPrinted>2014-12-04T15:43:00Z</cp:lastPrinted>
  <dcterms:created xsi:type="dcterms:W3CDTF">2014-11-25T09:24:00Z</dcterms:created>
  <dcterms:modified xsi:type="dcterms:W3CDTF">2014-12-05T07:37:00Z</dcterms:modified>
</cp:coreProperties>
</file>