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9997F" w14:textId="77777777" w:rsidR="00B75FA5" w:rsidRDefault="00B75FA5" w:rsidP="00A9254D">
      <w:pPr>
        <w:spacing w:after="0" w:line="240" w:lineRule="auto"/>
        <w:jc w:val="both"/>
      </w:pPr>
      <w:r w:rsidRPr="360D4D17">
        <w:rPr>
          <w:rFonts w:ascii="Times New Roman" w:eastAsia="Times New Roman" w:hAnsi="Times New Roman" w:cs="Times New Roman"/>
          <w:sz w:val="20"/>
          <w:szCs w:val="20"/>
        </w:rPr>
        <w:t xml:space="preserve">Título: Aplicación de normas y condiciones higiénico-sanitarias en restauración. </w:t>
      </w:r>
    </w:p>
    <w:p w14:paraId="02026153" w14:textId="77777777" w:rsidR="00B75FA5" w:rsidRDefault="00B75FA5" w:rsidP="00A9254D">
      <w:pPr>
        <w:spacing w:after="0" w:line="240" w:lineRule="auto"/>
        <w:jc w:val="both"/>
        <w:rPr>
          <w:rFonts w:ascii="Times New Roman" w:eastAsia="Times New Roman" w:hAnsi="Times New Roman" w:cs="Times New Roman"/>
          <w:sz w:val="20"/>
          <w:szCs w:val="20"/>
        </w:rPr>
      </w:pPr>
      <w:r w:rsidRPr="464A9183">
        <w:rPr>
          <w:rFonts w:ascii="Times New Roman" w:eastAsia="Times New Roman" w:hAnsi="Times New Roman" w:cs="Times New Roman"/>
          <w:sz w:val="20"/>
          <w:szCs w:val="20"/>
        </w:rPr>
        <w:t>Autor</w:t>
      </w:r>
      <w:r>
        <w:rPr>
          <w:rFonts w:ascii="Times New Roman" w:eastAsia="Times New Roman" w:hAnsi="Times New Roman" w:cs="Times New Roman"/>
          <w:sz w:val="20"/>
          <w:szCs w:val="20"/>
        </w:rPr>
        <w:t>a</w:t>
      </w:r>
      <w:r w:rsidRPr="464A9183">
        <w:rPr>
          <w:rFonts w:ascii="Times New Roman" w:eastAsia="Times New Roman" w:hAnsi="Times New Roman" w:cs="Times New Roman"/>
          <w:sz w:val="20"/>
          <w:szCs w:val="20"/>
        </w:rPr>
        <w:t>: Isabel María Celada Doval.</w:t>
      </w:r>
    </w:p>
    <w:p w14:paraId="305C6BDE" w14:textId="77777777" w:rsidR="00B75FA5" w:rsidRDefault="00B75FA5" w:rsidP="00A9254D">
      <w:pPr>
        <w:spacing w:after="0" w:line="240" w:lineRule="auto"/>
        <w:jc w:val="both"/>
        <w:rPr>
          <w:rFonts w:ascii="Times New Roman" w:eastAsia="Times New Roman" w:hAnsi="Times New Roman" w:cs="Times New Roman"/>
          <w:sz w:val="20"/>
          <w:szCs w:val="20"/>
        </w:rPr>
      </w:pPr>
      <w:r w:rsidRPr="464A9183">
        <w:rPr>
          <w:rFonts w:ascii="Times New Roman" w:eastAsia="Times New Roman" w:hAnsi="Times New Roman" w:cs="Times New Roman"/>
          <w:sz w:val="20"/>
          <w:szCs w:val="20"/>
        </w:rPr>
        <w:t>ISBN: 978-84-9839-690-4.</w:t>
      </w:r>
    </w:p>
    <w:p w14:paraId="00909027" w14:textId="77777777" w:rsidR="00124196" w:rsidRDefault="00124196" w:rsidP="00A9254D">
      <w:pPr>
        <w:pStyle w:val="IdeasPropias"/>
      </w:pPr>
    </w:p>
    <w:p w14:paraId="4F54C398" w14:textId="77777777" w:rsidR="00124196" w:rsidRDefault="00124196" w:rsidP="00A9254D">
      <w:pPr>
        <w:tabs>
          <w:tab w:val="left" w:pos="170"/>
        </w:tabs>
        <w:spacing w:after="0" w:line="240" w:lineRule="auto"/>
        <w:jc w:val="both"/>
        <w:rPr>
          <w:rFonts w:ascii="Times New Roman" w:eastAsia="Times New Roman" w:hAnsi="Times New Roman" w:cs="Times New Roman"/>
          <w:b/>
          <w:bCs/>
          <w:sz w:val="20"/>
          <w:szCs w:val="20"/>
        </w:rPr>
      </w:pPr>
    </w:p>
    <w:p w14:paraId="76A24CF2" w14:textId="7CB9D796" w:rsidR="00714C25" w:rsidRDefault="32443752" w:rsidP="00D774DD">
      <w:pPr>
        <w:tabs>
          <w:tab w:val="left" w:pos="170"/>
        </w:tabs>
        <w:spacing w:after="0" w:line="240" w:lineRule="auto"/>
        <w:jc w:val="center"/>
      </w:pPr>
      <w:r w:rsidRPr="3DFA76D3">
        <w:rPr>
          <w:rFonts w:ascii="Times New Roman" w:eastAsia="Times New Roman" w:hAnsi="Times New Roman" w:cs="Times New Roman"/>
          <w:b/>
          <w:bCs/>
          <w:sz w:val="20"/>
          <w:szCs w:val="20"/>
        </w:rPr>
        <w:t>EXAMEN</w:t>
      </w:r>
    </w:p>
    <w:p w14:paraId="0677194B" w14:textId="36656742" w:rsidR="00714C25" w:rsidRDefault="00714C25" w:rsidP="00A9254D">
      <w:pPr>
        <w:pStyle w:val="IPE"/>
      </w:pPr>
    </w:p>
    <w:p w14:paraId="33DAC3A6" w14:textId="77777777" w:rsidR="00530AE7" w:rsidRDefault="00530AE7" w:rsidP="00A9254D">
      <w:pPr>
        <w:pStyle w:val="IPE"/>
      </w:pPr>
    </w:p>
    <w:p w14:paraId="1D7EA577" w14:textId="1AB515EB" w:rsidR="00714C25" w:rsidRPr="004755C2" w:rsidRDefault="32443752" w:rsidP="00A9254D">
      <w:pPr>
        <w:tabs>
          <w:tab w:val="left" w:pos="170"/>
        </w:tabs>
        <w:spacing w:after="0" w:line="240" w:lineRule="auto"/>
        <w:jc w:val="both"/>
        <w:rPr>
          <w:b/>
          <w:bCs/>
        </w:rPr>
      </w:pPr>
      <w:r w:rsidRPr="004755C2">
        <w:rPr>
          <w:rFonts w:ascii="Times New Roman" w:eastAsia="Times New Roman" w:hAnsi="Times New Roman" w:cs="Times New Roman"/>
          <w:b/>
          <w:bCs/>
          <w:sz w:val="20"/>
          <w:szCs w:val="20"/>
        </w:rPr>
        <w:t xml:space="preserve">1. Según el Real Decreto 486/1997, ¿qué características deben tener </w:t>
      </w:r>
      <w:r w:rsidR="009D44AF">
        <w:rPr>
          <w:rFonts w:ascii="Times New Roman" w:eastAsia="Times New Roman" w:hAnsi="Times New Roman" w:cs="Times New Roman"/>
          <w:b/>
          <w:bCs/>
          <w:sz w:val="20"/>
          <w:szCs w:val="20"/>
        </w:rPr>
        <w:t>los suelos, las paredes, los equipos y la maquinaria</w:t>
      </w:r>
      <w:r w:rsidRPr="004755C2">
        <w:rPr>
          <w:rFonts w:ascii="Times New Roman" w:eastAsia="Times New Roman" w:hAnsi="Times New Roman" w:cs="Times New Roman"/>
          <w:b/>
          <w:bCs/>
          <w:sz w:val="20"/>
          <w:szCs w:val="20"/>
        </w:rPr>
        <w:t xml:space="preserve"> de </w:t>
      </w:r>
      <w:r w:rsidR="0092654C">
        <w:rPr>
          <w:rFonts w:ascii="Times New Roman" w:eastAsia="Times New Roman" w:hAnsi="Times New Roman" w:cs="Times New Roman"/>
          <w:b/>
          <w:bCs/>
          <w:sz w:val="20"/>
          <w:szCs w:val="20"/>
        </w:rPr>
        <w:t>los lugares de trabajo</w:t>
      </w:r>
      <w:r w:rsidRPr="004755C2">
        <w:rPr>
          <w:rFonts w:ascii="Times New Roman" w:eastAsia="Times New Roman" w:hAnsi="Times New Roman" w:cs="Times New Roman"/>
          <w:b/>
          <w:bCs/>
          <w:sz w:val="20"/>
          <w:szCs w:val="20"/>
        </w:rPr>
        <w:t xml:space="preserve"> para garantizar la seguridad del personal?</w:t>
      </w:r>
    </w:p>
    <w:p w14:paraId="2B196273" w14:textId="27639D99" w:rsidR="00714C25" w:rsidRPr="004755C2" w:rsidRDefault="32443752" w:rsidP="00A9254D">
      <w:pPr>
        <w:pStyle w:val="IPE"/>
      </w:pPr>
      <w:r w:rsidRPr="004755C2">
        <w:t xml:space="preserve"> </w:t>
      </w:r>
    </w:p>
    <w:p w14:paraId="7F7F7F72" w14:textId="5646FFB8" w:rsidR="00714C25" w:rsidRPr="00A835FA" w:rsidRDefault="004227D8" w:rsidP="00A9254D">
      <w:pPr>
        <w:tabs>
          <w:tab w:val="left" w:pos="17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Solución: </w:t>
      </w:r>
      <w:r w:rsidR="32443752" w:rsidRPr="3DFA76D3">
        <w:rPr>
          <w:rFonts w:ascii="Times New Roman" w:eastAsia="Times New Roman" w:hAnsi="Times New Roman" w:cs="Times New Roman"/>
          <w:sz w:val="20"/>
          <w:szCs w:val="20"/>
        </w:rPr>
        <w:t>Las cocinas deben tener al menos 2</w:t>
      </w:r>
      <w:r w:rsidR="00741417">
        <w:rPr>
          <w:rFonts w:ascii="Times New Roman" w:eastAsia="Times New Roman" w:hAnsi="Times New Roman" w:cs="Times New Roman"/>
          <w:sz w:val="20"/>
          <w:szCs w:val="20"/>
        </w:rPr>
        <w:t> </w:t>
      </w:r>
      <w:r w:rsidR="32443752" w:rsidRPr="3DFA76D3">
        <w:rPr>
          <w:rFonts w:ascii="Times New Roman" w:eastAsia="Times New Roman" w:hAnsi="Times New Roman" w:cs="Times New Roman"/>
          <w:sz w:val="20"/>
          <w:szCs w:val="20"/>
        </w:rPr>
        <w:t>m² de superficie libre por persona. El suelo debe ser antideslizante, y las paredes deben ser resistentes y fáciles de limpiar. Además, los equipos y maquinaria deben estar en buen estado, con marcado CE, y se deben tomar precauciones para evitar accidentes con el uso de herramientas y maquinaria.</w:t>
      </w:r>
    </w:p>
    <w:p w14:paraId="47B06454" w14:textId="09C2F84B" w:rsidR="00714C25" w:rsidRDefault="32443752" w:rsidP="00A9254D">
      <w:pPr>
        <w:pStyle w:val="IPE"/>
      </w:pPr>
      <w:r w:rsidRPr="3DFA76D3">
        <w:t xml:space="preserve"> </w:t>
      </w:r>
    </w:p>
    <w:p w14:paraId="1F13ED3E" w14:textId="32625AAD" w:rsidR="00714C25" w:rsidRPr="004227D8" w:rsidRDefault="32443752" w:rsidP="00A9254D">
      <w:pPr>
        <w:pStyle w:val="IPE"/>
        <w:rPr>
          <w:b/>
          <w:bCs w:val="0"/>
        </w:rPr>
      </w:pPr>
      <w:r w:rsidRPr="004227D8">
        <w:rPr>
          <w:b/>
          <w:bCs w:val="0"/>
        </w:rPr>
        <w:t xml:space="preserve">2. </w:t>
      </w:r>
      <w:r w:rsidR="00D72BF6" w:rsidRPr="004227D8">
        <w:rPr>
          <w:b/>
          <w:bCs w:val="0"/>
        </w:rPr>
        <w:t xml:space="preserve">¿Cuál es </w:t>
      </w:r>
      <w:r w:rsidR="00613C25" w:rsidRPr="004227D8">
        <w:rPr>
          <w:b/>
          <w:bCs w:val="0"/>
        </w:rPr>
        <w:t>la norma</w:t>
      </w:r>
      <w:r w:rsidR="00D72BF6" w:rsidRPr="004227D8">
        <w:rPr>
          <w:b/>
          <w:bCs w:val="0"/>
        </w:rPr>
        <w:t xml:space="preserve"> que </w:t>
      </w:r>
      <w:r w:rsidR="00613C25" w:rsidRPr="004227D8">
        <w:rPr>
          <w:b/>
          <w:bCs w:val="0"/>
        </w:rPr>
        <w:t>responsabiliza a la empresa de la formación de su personal en materia de manipulación de alimentos?</w:t>
      </w:r>
    </w:p>
    <w:p w14:paraId="470E4A7C" w14:textId="77777777" w:rsidR="00613C25" w:rsidRPr="004227D8" w:rsidRDefault="00613C25" w:rsidP="00A9254D">
      <w:pPr>
        <w:pStyle w:val="IPE"/>
        <w:rPr>
          <w:b/>
          <w:bCs w:val="0"/>
        </w:rPr>
      </w:pPr>
    </w:p>
    <w:p w14:paraId="2C0A2EAC" w14:textId="7CB94BB7" w:rsidR="00613C25" w:rsidRPr="004227D8" w:rsidRDefault="00613C25" w:rsidP="00A9254D">
      <w:pPr>
        <w:pStyle w:val="IPE"/>
        <w:rPr>
          <w:b/>
          <w:bCs w:val="0"/>
        </w:rPr>
      </w:pPr>
      <w:r w:rsidRPr="004227D8">
        <w:rPr>
          <w:b/>
          <w:bCs w:val="0"/>
        </w:rPr>
        <w:t>a. Real Decreto 1086/2020.</w:t>
      </w:r>
    </w:p>
    <w:p w14:paraId="29799626" w14:textId="37CCCB6A" w:rsidR="00613C25" w:rsidRPr="004227D8" w:rsidRDefault="00613C25" w:rsidP="00A9254D">
      <w:pPr>
        <w:pStyle w:val="IPE"/>
        <w:rPr>
          <w:b/>
          <w:bCs w:val="0"/>
        </w:rPr>
      </w:pPr>
      <w:r w:rsidRPr="004227D8">
        <w:rPr>
          <w:b/>
          <w:bCs w:val="0"/>
        </w:rPr>
        <w:t>b. Reglamento (CE) n.</w:t>
      </w:r>
      <w:r w:rsidR="004227D8" w:rsidRPr="004227D8">
        <w:rPr>
          <w:b/>
          <w:bCs w:val="0"/>
        </w:rPr>
        <w:t>º 852/2004.</w:t>
      </w:r>
    </w:p>
    <w:p w14:paraId="2FDA8E78" w14:textId="0ECE7953" w:rsidR="004227D8" w:rsidRPr="004227D8" w:rsidRDefault="004227D8" w:rsidP="00A9254D">
      <w:pPr>
        <w:pStyle w:val="IPE"/>
        <w:rPr>
          <w:b/>
          <w:bCs w:val="0"/>
        </w:rPr>
      </w:pPr>
      <w:r w:rsidRPr="004227D8">
        <w:rPr>
          <w:b/>
          <w:bCs w:val="0"/>
        </w:rPr>
        <w:t>c. Ley 17/2011.</w:t>
      </w:r>
    </w:p>
    <w:p w14:paraId="0640BAC6" w14:textId="2E3DCF3C" w:rsidR="004227D8" w:rsidRPr="004227D8" w:rsidRDefault="004227D8" w:rsidP="00A9254D">
      <w:pPr>
        <w:pStyle w:val="IPE"/>
        <w:rPr>
          <w:b/>
          <w:bCs w:val="0"/>
        </w:rPr>
      </w:pPr>
      <w:r w:rsidRPr="004227D8">
        <w:rPr>
          <w:b/>
          <w:bCs w:val="0"/>
        </w:rPr>
        <w:t xml:space="preserve">d. Reglamento (CE) n.º 1935/2004. </w:t>
      </w:r>
    </w:p>
    <w:p w14:paraId="0EC0DEC4" w14:textId="77777777" w:rsidR="004227D8" w:rsidRDefault="004227D8" w:rsidP="00A9254D">
      <w:pPr>
        <w:pStyle w:val="IPE"/>
      </w:pPr>
    </w:p>
    <w:p w14:paraId="1B227EE6" w14:textId="7D87CB46" w:rsidR="00611CA0" w:rsidRPr="00071F60" w:rsidRDefault="004227D8" w:rsidP="00A9254D">
      <w:pPr>
        <w:pStyle w:val="IPE"/>
      </w:pPr>
      <w:r>
        <w:t xml:space="preserve">Solución: </w:t>
      </w:r>
      <w:r w:rsidR="00611CA0" w:rsidRPr="00071F60">
        <w:t xml:space="preserve">b. </w:t>
      </w:r>
      <w:r w:rsidR="00C0391D" w:rsidRPr="00071F60">
        <w:t xml:space="preserve">El Reglamento (CE) n.º 852/2004 </w:t>
      </w:r>
      <w:r w:rsidR="00071F60" w:rsidRPr="00071F60">
        <w:t>especifica,</w:t>
      </w:r>
      <w:r w:rsidR="00C0391D" w:rsidRPr="00071F60">
        <w:t xml:space="preserve"> en el capítulo </w:t>
      </w:r>
      <w:proofErr w:type="spellStart"/>
      <w:r w:rsidR="00C0391D" w:rsidRPr="00071F60">
        <w:rPr>
          <w:smallCaps/>
        </w:rPr>
        <w:t>xii</w:t>
      </w:r>
      <w:proofErr w:type="spellEnd"/>
      <w:r w:rsidR="00C0391D" w:rsidRPr="00071F60">
        <w:t xml:space="preserve"> del anexo</w:t>
      </w:r>
      <w:r w:rsidR="00C0391D" w:rsidRPr="00071F60">
        <w:rPr>
          <w:smallCaps/>
        </w:rPr>
        <w:t xml:space="preserve"> </w:t>
      </w:r>
      <w:proofErr w:type="spellStart"/>
      <w:r w:rsidR="00C0391D" w:rsidRPr="00071F60">
        <w:rPr>
          <w:smallCaps/>
        </w:rPr>
        <w:t>ii</w:t>
      </w:r>
      <w:proofErr w:type="spellEnd"/>
      <w:r w:rsidR="00071F60" w:rsidRPr="00071F60">
        <w:rPr>
          <w:smallCaps/>
        </w:rPr>
        <w:t>,</w:t>
      </w:r>
      <w:r w:rsidR="00071F60" w:rsidRPr="00071F60">
        <w:t xml:space="preserve"> que</w:t>
      </w:r>
      <w:r w:rsidR="00C0391D" w:rsidRPr="00071F60">
        <w:t xml:space="preserve"> entre las obligaciones de los operadores de empresas alimentarias, está la de garantizar «la supervisión y la instrucción o formación de los manipuladores de productos alimenticios en cuestiones de higiene alimentaria, de acuerdo con su actividad laboral». </w:t>
      </w:r>
    </w:p>
    <w:p w14:paraId="3D34D2CA" w14:textId="33E24E5F" w:rsidR="00714C25" w:rsidRDefault="00714C25" w:rsidP="00A9254D">
      <w:pPr>
        <w:pStyle w:val="IPE"/>
      </w:pPr>
    </w:p>
    <w:p w14:paraId="262A5023" w14:textId="44A19F98" w:rsidR="00625D3C" w:rsidRPr="003B2A20" w:rsidRDefault="001C2034" w:rsidP="00A9254D">
      <w:pPr>
        <w:pStyle w:val="IPE"/>
        <w:rPr>
          <w:b/>
        </w:rPr>
      </w:pPr>
      <w:r w:rsidRPr="003B2A20">
        <w:rPr>
          <w:b/>
        </w:rPr>
        <w:t>3.</w:t>
      </w:r>
      <w:r w:rsidR="001231F9" w:rsidRPr="003B2A20">
        <w:rPr>
          <w:b/>
        </w:rPr>
        <w:t xml:space="preserve"> </w:t>
      </w:r>
      <w:r w:rsidR="006173D3" w:rsidRPr="003B2A20">
        <w:rPr>
          <w:b/>
        </w:rPr>
        <w:t>En una etiqueta de un producto aparece el siguiente pictograma</w:t>
      </w:r>
      <w:r w:rsidR="00A835FA">
        <w:rPr>
          <w:b/>
        </w:rPr>
        <w:t xml:space="preserve">. </w:t>
      </w:r>
      <w:r w:rsidR="00A835FA" w:rsidRPr="003B2A20">
        <w:rPr>
          <w:b/>
        </w:rPr>
        <w:t>¿Qué peligro representa?</w:t>
      </w:r>
    </w:p>
    <w:p w14:paraId="42BBD796" w14:textId="77777777" w:rsidR="00402696" w:rsidRPr="003B2A20" w:rsidRDefault="00402696" w:rsidP="006173D3">
      <w:pPr>
        <w:pStyle w:val="IPE"/>
        <w:rPr>
          <w:b/>
        </w:rPr>
      </w:pPr>
    </w:p>
    <w:p w14:paraId="3F315D3E" w14:textId="63D2F06F" w:rsidR="000A65E2" w:rsidRPr="003B2A20" w:rsidRDefault="000A65E2" w:rsidP="006173D3">
      <w:pPr>
        <w:pStyle w:val="IPE"/>
        <w:rPr>
          <w:b/>
        </w:rPr>
      </w:pPr>
      <w:r w:rsidRPr="003B2A20">
        <w:rPr>
          <w:noProof/>
          <w:sz w:val="18"/>
          <w:szCs w:val="18"/>
        </w:rPr>
        <w:drawing>
          <wp:inline distT="0" distB="0" distL="0" distR="0" wp14:anchorId="2E5EB528" wp14:editId="0258896A">
            <wp:extent cx="603885" cy="603885"/>
            <wp:effectExtent l="0" t="0" r="5715" b="5715"/>
            <wp:docPr id="572791888" name="Imagen 1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4839" cy="614839"/>
                    </a:xfrm>
                    <a:prstGeom prst="rect">
                      <a:avLst/>
                    </a:prstGeom>
                    <a:noFill/>
                    <a:ln>
                      <a:noFill/>
                    </a:ln>
                  </pic:spPr>
                </pic:pic>
              </a:graphicData>
            </a:graphic>
          </wp:inline>
        </w:drawing>
      </w:r>
    </w:p>
    <w:p w14:paraId="47B33BD4" w14:textId="77777777" w:rsidR="006173D3" w:rsidRPr="003B2A20" w:rsidRDefault="006173D3" w:rsidP="006173D3">
      <w:pPr>
        <w:pStyle w:val="IPE"/>
        <w:rPr>
          <w:b/>
        </w:rPr>
      </w:pPr>
    </w:p>
    <w:p w14:paraId="1EEB00C2" w14:textId="77777777" w:rsidR="000A65E2" w:rsidRPr="003B2A20" w:rsidRDefault="000A65E2" w:rsidP="006173D3">
      <w:pPr>
        <w:pStyle w:val="IPE"/>
        <w:rPr>
          <w:b/>
        </w:rPr>
      </w:pPr>
    </w:p>
    <w:p w14:paraId="4B0AD032" w14:textId="163CEB73" w:rsidR="000A65E2" w:rsidRPr="000A65E2" w:rsidRDefault="000A65E2" w:rsidP="006173D3">
      <w:pPr>
        <w:pStyle w:val="IPE"/>
        <w:rPr>
          <w:bCs w:val="0"/>
        </w:rPr>
      </w:pPr>
      <w:r w:rsidRPr="003B2A20">
        <w:rPr>
          <w:bCs w:val="0"/>
        </w:rPr>
        <w:t xml:space="preserve">Solución: </w:t>
      </w:r>
      <w:r w:rsidR="00537C0D" w:rsidRPr="003B2A20">
        <w:rPr>
          <w:bCs w:val="0"/>
        </w:rPr>
        <w:t xml:space="preserve">Este pictograma </w:t>
      </w:r>
      <w:r w:rsidR="003B2A20" w:rsidRPr="003B2A20">
        <w:rPr>
          <w:bCs w:val="0"/>
        </w:rPr>
        <w:t>representa que el producto constituye un peligro grave para la salud ya que puede ser mortal, cancerígeno, tóxico, causar mutaciones, alergias o dificultades respiratorias.</w:t>
      </w:r>
      <w:r w:rsidR="003B2A20">
        <w:rPr>
          <w:bCs w:val="0"/>
        </w:rPr>
        <w:t xml:space="preserve"> </w:t>
      </w:r>
    </w:p>
    <w:p w14:paraId="1E008E9D" w14:textId="77777777" w:rsidR="00445EB2" w:rsidRDefault="00445EB2" w:rsidP="00A9254D">
      <w:pPr>
        <w:pStyle w:val="IPE"/>
      </w:pPr>
    </w:p>
    <w:p w14:paraId="6E56BB03" w14:textId="2C1DD759" w:rsidR="00A42789" w:rsidRPr="00B36AA6" w:rsidRDefault="00A42789" w:rsidP="00A9254D">
      <w:pPr>
        <w:pStyle w:val="IPE"/>
        <w:rPr>
          <w:b/>
          <w:bCs w:val="0"/>
        </w:rPr>
      </w:pPr>
      <w:r w:rsidRPr="00B36AA6">
        <w:rPr>
          <w:b/>
          <w:bCs w:val="0"/>
        </w:rPr>
        <w:t xml:space="preserve">4. Clasifica </w:t>
      </w:r>
      <w:r w:rsidR="004A020B" w:rsidRPr="00B36AA6">
        <w:rPr>
          <w:b/>
          <w:bCs w:val="0"/>
        </w:rPr>
        <w:t>cada característica d</w:t>
      </w:r>
      <w:r w:rsidR="001920DF" w:rsidRPr="00B36AA6">
        <w:rPr>
          <w:b/>
          <w:bCs w:val="0"/>
        </w:rPr>
        <w:t xml:space="preserve">el etiquetado de los productos </w:t>
      </w:r>
      <w:r w:rsidR="004A020B" w:rsidRPr="00B36AA6">
        <w:rPr>
          <w:b/>
          <w:bCs w:val="0"/>
        </w:rPr>
        <w:t xml:space="preserve">químicos </w:t>
      </w:r>
      <w:r w:rsidR="00625D3C" w:rsidRPr="00B36AA6">
        <w:rPr>
          <w:b/>
          <w:bCs w:val="0"/>
        </w:rPr>
        <w:t>en</w:t>
      </w:r>
      <w:r w:rsidR="004A020B" w:rsidRPr="00B36AA6">
        <w:rPr>
          <w:b/>
          <w:bCs w:val="0"/>
        </w:rPr>
        <w:t xml:space="preserve"> </w:t>
      </w:r>
      <w:r w:rsidR="003A3719" w:rsidRPr="00B36AA6">
        <w:rPr>
          <w:b/>
          <w:bCs w:val="0"/>
        </w:rPr>
        <w:t>la categoría a la que pertenece</w:t>
      </w:r>
      <w:r w:rsidR="00625D3C" w:rsidRPr="00B36AA6">
        <w:rPr>
          <w:b/>
          <w:bCs w:val="0"/>
        </w:rPr>
        <w:t xml:space="preserve"> según el Reglamento CLP</w:t>
      </w:r>
      <w:r w:rsidR="003A3719" w:rsidRPr="00B36AA6">
        <w:rPr>
          <w:b/>
          <w:bCs w:val="0"/>
        </w:rPr>
        <w:t xml:space="preserve">: </w:t>
      </w:r>
    </w:p>
    <w:p w14:paraId="54624BF4" w14:textId="77777777" w:rsidR="003A3719" w:rsidRPr="00B36AA6" w:rsidRDefault="003A3719" w:rsidP="00A9254D">
      <w:pPr>
        <w:pStyle w:val="IPE"/>
      </w:pPr>
    </w:p>
    <w:p w14:paraId="6536DF75" w14:textId="38906E8A" w:rsidR="003A3719" w:rsidRPr="00B36AA6" w:rsidRDefault="003A3719" w:rsidP="00A9254D">
      <w:pPr>
        <w:pStyle w:val="IPE"/>
      </w:pPr>
      <w:r w:rsidRPr="00B36AA6">
        <w:rPr>
          <w:noProof/>
        </w:rPr>
        <mc:AlternateContent>
          <mc:Choice Requires="wps">
            <w:drawing>
              <wp:inline distT="0" distB="0" distL="0" distR="0" wp14:anchorId="001D6A35" wp14:editId="7B7E69A2">
                <wp:extent cx="5653378" cy="461175"/>
                <wp:effectExtent l="0" t="0" r="24130" b="15240"/>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3378" cy="461175"/>
                        </a:xfrm>
                        <a:prstGeom prst="rect">
                          <a:avLst/>
                        </a:prstGeom>
                        <a:solidFill>
                          <a:srgbClr val="FFFFFF"/>
                        </a:solidFill>
                        <a:ln w="9525">
                          <a:solidFill>
                            <a:srgbClr val="000000"/>
                          </a:solidFill>
                          <a:miter lim="800000"/>
                          <a:headEnd/>
                          <a:tailEnd/>
                        </a:ln>
                      </wps:spPr>
                      <wps:txbx>
                        <w:txbxContent>
                          <w:p w14:paraId="13D06A73" w14:textId="0070A5B2" w:rsidR="003A3719" w:rsidRPr="009D585C" w:rsidRDefault="00386817" w:rsidP="009D585C">
                            <w:pPr>
                              <w:pStyle w:val="IPE"/>
                            </w:pPr>
                            <w:r>
                              <w:t>t</w:t>
                            </w:r>
                            <w:r w:rsidR="003A3719" w:rsidRPr="009D585C">
                              <w:t xml:space="preserve">oxicidad acuática crónica </w:t>
                            </w:r>
                            <w:r w:rsidR="003A3719" w:rsidRPr="009D585C">
                              <w:tab/>
                            </w:r>
                            <w:r>
                              <w:t>i</w:t>
                            </w:r>
                            <w:r w:rsidR="00E278AC" w:rsidRPr="009D585C">
                              <w:t xml:space="preserve">rritación ocular </w:t>
                            </w:r>
                            <w:r w:rsidR="00E278AC" w:rsidRPr="009D585C">
                              <w:tab/>
                            </w:r>
                            <w:r>
                              <w:tab/>
                            </w:r>
                            <w:r w:rsidR="00E278AC" w:rsidRPr="009D585C">
                              <w:t>toxicidad aguda</w:t>
                            </w:r>
                            <w:r w:rsidR="00E278AC" w:rsidRPr="009D585C">
                              <w:tab/>
                            </w:r>
                            <w:r w:rsidR="00E278AC" w:rsidRPr="009D585C">
                              <w:tab/>
                              <w:t>inflamable</w:t>
                            </w:r>
                            <w:r>
                              <w:t xml:space="preserve"> </w:t>
                            </w:r>
                            <w:r w:rsidR="009D585C" w:rsidRPr="009D585C">
                              <w:t>sustancias peligrosas para la capa de ozono</w:t>
                            </w:r>
                            <w:r>
                              <w:tab/>
                            </w:r>
                            <w:r w:rsidR="009D585C" w:rsidRPr="009D585C">
                              <w:tab/>
                              <w:t>sensibilización respiratoria</w:t>
                            </w:r>
                            <w:r w:rsidR="009D585C" w:rsidRPr="009D585C">
                              <w:tab/>
                              <w:t>corrosión</w:t>
                            </w:r>
                          </w:p>
                        </w:txbxContent>
                      </wps:txbx>
                      <wps:bodyPr rot="0" vert="horz" wrap="square" lIns="91440" tIns="45720" rIns="91440" bIns="45720" anchor="t" anchorCtr="0">
                        <a:noAutofit/>
                      </wps:bodyPr>
                    </wps:wsp>
                  </a:graphicData>
                </a:graphic>
              </wp:inline>
            </w:drawing>
          </mc:Choice>
          <mc:Fallback>
            <w:pict>
              <v:shapetype w14:anchorId="001D6A35" id="_x0000_t202" coordsize="21600,21600" o:spt="202" path="m,l,21600r21600,l21600,xe">
                <v:stroke joinstyle="miter"/>
                <v:path gradientshapeok="t" o:connecttype="rect"/>
              </v:shapetype>
              <v:shape id="Cuadro de texto 2" o:spid="_x0000_s1026" type="#_x0000_t202" style="width:445.15pt;height:3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">
                <v:textbox>
                  <w:txbxContent>
                    <w:p w14:paraId="13D06A73" w14:textId="0070A5B2" w:rsidR="003A3719" w:rsidRPr="009D585C" w:rsidRDefault="00386817" w:rsidP="009D585C">
                      <w:pPr>
                        <w:pStyle w:val="IPE"/>
                      </w:pPr>
                      <w:r>
                        <w:t>t</w:t>
                      </w:r>
                      <w:r w:rsidR="003A3719" w:rsidRPr="009D585C">
                        <w:t xml:space="preserve">oxicidad acuática crónica </w:t>
                      </w:r>
                      <w:r w:rsidR="003A3719" w:rsidRPr="009D585C">
                        <w:tab/>
                      </w:r>
                      <w:r>
                        <w:t>i</w:t>
                      </w:r>
                      <w:r w:rsidR="00E278AC" w:rsidRPr="009D585C">
                        <w:t xml:space="preserve">rritación ocular </w:t>
                      </w:r>
                      <w:r w:rsidR="00E278AC" w:rsidRPr="009D585C">
                        <w:tab/>
                      </w:r>
                      <w:r>
                        <w:tab/>
                      </w:r>
                      <w:r w:rsidR="00E278AC" w:rsidRPr="009D585C">
                        <w:t>toxicidad aguda</w:t>
                      </w:r>
                      <w:r w:rsidR="00E278AC" w:rsidRPr="009D585C">
                        <w:tab/>
                      </w:r>
                      <w:r w:rsidR="00E278AC" w:rsidRPr="009D585C">
                        <w:tab/>
                        <w:t>inflamable</w:t>
                      </w:r>
                      <w:r>
                        <w:t xml:space="preserve"> </w:t>
                      </w:r>
                      <w:r w:rsidR="009D585C" w:rsidRPr="009D585C">
                        <w:t>sustancias peligrosas para la capa de ozono</w:t>
                      </w:r>
                      <w:r>
                        <w:tab/>
                      </w:r>
                      <w:r w:rsidR="009D585C" w:rsidRPr="009D585C">
                        <w:tab/>
                        <w:t>sensibilización respiratoria</w:t>
                      </w:r>
                      <w:r w:rsidR="009D585C" w:rsidRPr="009D585C">
                        <w:tab/>
                        <w:t>corrosión</w:t>
                      </w:r>
                    </w:p>
                  </w:txbxContent>
                </v:textbox>
                <w10:anchorlock/>
              </v:shape>
            </w:pict>
          </mc:Fallback>
        </mc:AlternateContent>
      </w:r>
    </w:p>
    <w:p w14:paraId="54E60170" w14:textId="265E5D2B" w:rsidR="003A3719" w:rsidRPr="00B36AA6" w:rsidRDefault="003A3719" w:rsidP="00A9254D">
      <w:pPr>
        <w:pStyle w:val="IPE"/>
      </w:pPr>
    </w:p>
    <w:tbl>
      <w:tblPr>
        <w:tblStyle w:val="Tablaconcuadrcula"/>
        <w:tblW w:w="8965" w:type="dxa"/>
        <w:tblLook w:val="04A0" w:firstRow="1" w:lastRow="0" w:firstColumn="1" w:lastColumn="0" w:noHBand="0" w:noVBand="1"/>
      </w:tblPr>
      <w:tblGrid>
        <w:gridCol w:w="2988"/>
        <w:gridCol w:w="2988"/>
        <w:gridCol w:w="2989"/>
      </w:tblGrid>
      <w:tr w:rsidR="00386817" w14:paraId="0328947E" w14:textId="77777777" w:rsidTr="00386817">
        <w:trPr>
          <w:trHeight w:val="328"/>
        </w:trPr>
        <w:tc>
          <w:tcPr>
            <w:tcW w:w="2988" w:type="dxa"/>
            <w:vAlign w:val="center"/>
          </w:tcPr>
          <w:p w14:paraId="35B7AC9F" w14:textId="676C9F15" w:rsidR="00386817" w:rsidRPr="00B36AA6" w:rsidRDefault="00386817" w:rsidP="00A9254D">
            <w:pPr>
              <w:pStyle w:val="IPE"/>
              <w:rPr>
                <w:b/>
                <w:bCs w:val="0"/>
              </w:rPr>
            </w:pPr>
            <w:r w:rsidRPr="00B36AA6">
              <w:rPr>
                <w:b/>
                <w:bCs w:val="0"/>
              </w:rPr>
              <w:t>Peligros físicos</w:t>
            </w:r>
          </w:p>
        </w:tc>
        <w:tc>
          <w:tcPr>
            <w:tcW w:w="2988" w:type="dxa"/>
            <w:vAlign w:val="center"/>
          </w:tcPr>
          <w:p w14:paraId="62661405" w14:textId="23541949" w:rsidR="00386817" w:rsidRPr="00B36AA6" w:rsidRDefault="00386817" w:rsidP="00A9254D">
            <w:pPr>
              <w:pStyle w:val="IPE"/>
              <w:rPr>
                <w:b/>
                <w:bCs w:val="0"/>
              </w:rPr>
            </w:pPr>
            <w:r w:rsidRPr="00B36AA6">
              <w:rPr>
                <w:b/>
                <w:bCs w:val="0"/>
              </w:rPr>
              <w:t>Peligros para la salud</w:t>
            </w:r>
          </w:p>
        </w:tc>
        <w:tc>
          <w:tcPr>
            <w:tcW w:w="2989" w:type="dxa"/>
            <w:vAlign w:val="center"/>
          </w:tcPr>
          <w:p w14:paraId="011AFB55" w14:textId="17BB88C7" w:rsidR="00386817" w:rsidRPr="00386817" w:rsidRDefault="00386817" w:rsidP="00A9254D">
            <w:pPr>
              <w:pStyle w:val="IPE"/>
              <w:rPr>
                <w:b/>
                <w:bCs w:val="0"/>
              </w:rPr>
            </w:pPr>
            <w:r w:rsidRPr="00B36AA6">
              <w:rPr>
                <w:b/>
                <w:bCs w:val="0"/>
              </w:rPr>
              <w:t>Peligros para el medioambiente</w:t>
            </w:r>
          </w:p>
        </w:tc>
      </w:tr>
      <w:tr w:rsidR="00386817" w14:paraId="08297E58" w14:textId="77777777" w:rsidTr="00386817">
        <w:trPr>
          <w:trHeight w:val="941"/>
        </w:trPr>
        <w:tc>
          <w:tcPr>
            <w:tcW w:w="2988" w:type="dxa"/>
            <w:vAlign w:val="center"/>
          </w:tcPr>
          <w:p w14:paraId="46D56A7C" w14:textId="77777777" w:rsidR="00386817" w:rsidRDefault="00386817" w:rsidP="00A9254D">
            <w:pPr>
              <w:pStyle w:val="IPE"/>
            </w:pPr>
          </w:p>
        </w:tc>
        <w:tc>
          <w:tcPr>
            <w:tcW w:w="2988" w:type="dxa"/>
            <w:vAlign w:val="center"/>
          </w:tcPr>
          <w:p w14:paraId="0462EBAE" w14:textId="77777777" w:rsidR="00386817" w:rsidRDefault="00386817" w:rsidP="00A9254D">
            <w:pPr>
              <w:pStyle w:val="IPE"/>
            </w:pPr>
          </w:p>
        </w:tc>
        <w:tc>
          <w:tcPr>
            <w:tcW w:w="2989" w:type="dxa"/>
            <w:vAlign w:val="center"/>
          </w:tcPr>
          <w:p w14:paraId="61F82828" w14:textId="77777777" w:rsidR="00386817" w:rsidRDefault="00386817" w:rsidP="00A9254D">
            <w:pPr>
              <w:pStyle w:val="IPE"/>
            </w:pPr>
          </w:p>
        </w:tc>
      </w:tr>
    </w:tbl>
    <w:p w14:paraId="154CA14A" w14:textId="09631104" w:rsidR="003A3719" w:rsidRPr="004A482C" w:rsidRDefault="003A3719" w:rsidP="00A9254D">
      <w:pPr>
        <w:pStyle w:val="IPE"/>
        <w:rPr>
          <w:b/>
          <w:bCs w:val="0"/>
        </w:rPr>
      </w:pPr>
    </w:p>
    <w:p w14:paraId="76103207" w14:textId="796BC4AF" w:rsidR="00441E64" w:rsidRPr="004A482C" w:rsidRDefault="00441E64" w:rsidP="00A9254D">
      <w:pPr>
        <w:pStyle w:val="IPE"/>
        <w:rPr>
          <w:b/>
          <w:bCs w:val="0"/>
        </w:rPr>
      </w:pPr>
      <w:r w:rsidRPr="004A482C">
        <w:rPr>
          <w:b/>
          <w:bCs w:val="0"/>
        </w:rPr>
        <w:t>5.</w:t>
      </w:r>
      <w:r w:rsidR="00BA716F" w:rsidRPr="004A482C">
        <w:rPr>
          <w:b/>
          <w:bCs w:val="0"/>
        </w:rPr>
        <w:t xml:space="preserve"> </w:t>
      </w:r>
      <w:r w:rsidR="005A4FBB">
        <w:rPr>
          <w:b/>
          <w:bCs w:val="0"/>
        </w:rPr>
        <w:t xml:space="preserve">Para </w:t>
      </w:r>
      <w:r w:rsidR="0017700A">
        <w:rPr>
          <w:b/>
          <w:bCs w:val="0"/>
        </w:rPr>
        <w:t>eliminar la grasa acumulada de un horno, ¿qué tipo de desengrasante se debería usar?</w:t>
      </w:r>
      <w:r w:rsidR="00BA716F" w:rsidRPr="004A482C">
        <w:rPr>
          <w:b/>
          <w:bCs w:val="0"/>
        </w:rPr>
        <w:t xml:space="preserve"> </w:t>
      </w:r>
    </w:p>
    <w:p w14:paraId="5A1C97EC" w14:textId="77777777" w:rsidR="00BA716F" w:rsidRPr="004A482C" w:rsidRDefault="00BA716F" w:rsidP="00A9254D">
      <w:pPr>
        <w:pStyle w:val="IPE"/>
        <w:rPr>
          <w:b/>
          <w:bCs w:val="0"/>
        </w:rPr>
      </w:pPr>
    </w:p>
    <w:p w14:paraId="2D555F38" w14:textId="137FA376" w:rsidR="00073C1E" w:rsidRPr="004A482C" w:rsidRDefault="00BA716F" w:rsidP="00A9254D">
      <w:pPr>
        <w:pStyle w:val="IPE"/>
        <w:rPr>
          <w:b/>
          <w:bCs w:val="0"/>
        </w:rPr>
      </w:pPr>
      <w:r w:rsidRPr="004A482C">
        <w:rPr>
          <w:b/>
          <w:bCs w:val="0"/>
        </w:rPr>
        <w:t xml:space="preserve">a. </w:t>
      </w:r>
      <w:r w:rsidR="0017700A">
        <w:rPr>
          <w:b/>
          <w:bCs w:val="0"/>
        </w:rPr>
        <w:t>Desengrasante aniónico.</w:t>
      </w:r>
    </w:p>
    <w:p w14:paraId="2CFA1252" w14:textId="02A46D41" w:rsidR="00BA716F" w:rsidRPr="004A482C" w:rsidRDefault="00073C1E" w:rsidP="00A9254D">
      <w:pPr>
        <w:pStyle w:val="IPE"/>
        <w:rPr>
          <w:b/>
          <w:bCs w:val="0"/>
        </w:rPr>
      </w:pPr>
      <w:r w:rsidRPr="004A482C">
        <w:rPr>
          <w:b/>
          <w:bCs w:val="0"/>
        </w:rPr>
        <w:t xml:space="preserve">b. </w:t>
      </w:r>
      <w:r w:rsidR="0017700A">
        <w:rPr>
          <w:b/>
          <w:bCs w:val="0"/>
        </w:rPr>
        <w:t xml:space="preserve">Desengrasante neutro. </w:t>
      </w:r>
    </w:p>
    <w:p w14:paraId="732EB2CD" w14:textId="0AC86D09" w:rsidR="007E3B93" w:rsidRPr="004A482C" w:rsidRDefault="007E3B93" w:rsidP="00A9254D">
      <w:pPr>
        <w:pStyle w:val="IPE"/>
        <w:rPr>
          <w:b/>
          <w:bCs w:val="0"/>
        </w:rPr>
      </w:pPr>
      <w:r w:rsidRPr="004A482C">
        <w:rPr>
          <w:b/>
          <w:bCs w:val="0"/>
        </w:rPr>
        <w:t xml:space="preserve">c. </w:t>
      </w:r>
      <w:r w:rsidR="0017700A">
        <w:rPr>
          <w:b/>
          <w:bCs w:val="0"/>
        </w:rPr>
        <w:t xml:space="preserve">Desengrasante alcalino. </w:t>
      </w:r>
    </w:p>
    <w:p w14:paraId="2F1B150A" w14:textId="2B970C97" w:rsidR="00D26039" w:rsidRPr="004A482C" w:rsidRDefault="00D26039" w:rsidP="00A9254D">
      <w:pPr>
        <w:pStyle w:val="IPE"/>
        <w:rPr>
          <w:b/>
          <w:bCs w:val="0"/>
        </w:rPr>
      </w:pPr>
      <w:r w:rsidRPr="004A482C">
        <w:rPr>
          <w:b/>
          <w:bCs w:val="0"/>
        </w:rPr>
        <w:t xml:space="preserve">d. </w:t>
      </w:r>
      <w:r w:rsidR="0017700A">
        <w:rPr>
          <w:b/>
          <w:bCs w:val="0"/>
        </w:rPr>
        <w:t xml:space="preserve">Desengrasante ácido. </w:t>
      </w:r>
    </w:p>
    <w:p w14:paraId="5B5D5D28" w14:textId="77777777" w:rsidR="00E83917" w:rsidRDefault="00E83917" w:rsidP="00A9254D">
      <w:pPr>
        <w:pStyle w:val="IPE"/>
      </w:pPr>
    </w:p>
    <w:p w14:paraId="0D1F2A80" w14:textId="4C4BF781" w:rsidR="00E83917" w:rsidRDefault="00E83917" w:rsidP="00A9254D">
      <w:pPr>
        <w:pStyle w:val="IPE"/>
      </w:pPr>
      <w:r>
        <w:t>Solución: c.</w:t>
      </w:r>
      <w:r w:rsidR="0017700A">
        <w:t xml:space="preserve"> P</w:t>
      </w:r>
      <w:r w:rsidR="00510B11">
        <w:t xml:space="preserve">ara eliminar grasas de hornos </w:t>
      </w:r>
      <w:r w:rsidR="00904B5E">
        <w:t>se usará un desengrasante alcalino</w:t>
      </w:r>
      <w:r w:rsidR="008746D0">
        <w:t xml:space="preserve">, ya que </w:t>
      </w:r>
      <w:r w:rsidR="00A63D2E">
        <w:t xml:space="preserve">contienen bases fuertes que </w:t>
      </w:r>
      <w:r w:rsidR="008746D0">
        <w:t>actúan disolviendo las grasa</w:t>
      </w:r>
      <w:r w:rsidR="00A63D2E">
        <w:t xml:space="preserve">s. </w:t>
      </w:r>
    </w:p>
    <w:p w14:paraId="7B2DA5B1" w14:textId="77777777" w:rsidR="00C44714" w:rsidRDefault="00C44714" w:rsidP="00A9254D">
      <w:pPr>
        <w:pStyle w:val="IPE"/>
      </w:pPr>
    </w:p>
    <w:p w14:paraId="6D3CFDA3" w14:textId="02FB492F" w:rsidR="00D755B6" w:rsidRDefault="00A63D2E" w:rsidP="00A9254D">
      <w:pPr>
        <w:pStyle w:val="IPE"/>
      </w:pPr>
      <w:r w:rsidRPr="00D755B6">
        <w:rPr>
          <w:b/>
          <w:bCs w:val="0"/>
        </w:rPr>
        <w:t xml:space="preserve">6. </w:t>
      </w:r>
      <w:r w:rsidR="00FE39A9">
        <w:rPr>
          <w:b/>
          <w:bCs w:val="0"/>
        </w:rPr>
        <w:t>El res</w:t>
      </w:r>
      <w:r w:rsidR="009E26FD">
        <w:rPr>
          <w:b/>
          <w:bCs w:val="0"/>
        </w:rPr>
        <w:t xml:space="preserve">taurante </w:t>
      </w:r>
      <w:proofErr w:type="spellStart"/>
      <w:r w:rsidR="009E26FD">
        <w:rPr>
          <w:b/>
          <w:bCs w:val="0"/>
        </w:rPr>
        <w:t>Sushidos</w:t>
      </w:r>
      <w:proofErr w:type="spellEnd"/>
      <w:r w:rsidR="009E26FD">
        <w:rPr>
          <w:b/>
          <w:bCs w:val="0"/>
        </w:rPr>
        <w:t xml:space="preserve"> </w:t>
      </w:r>
      <w:r w:rsidR="004457DC">
        <w:rPr>
          <w:b/>
          <w:bCs w:val="0"/>
        </w:rPr>
        <w:t xml:space="preserve">es un establecimiento </w:t>
      </w:r>
      <w:r w:rsidR="00395DB0">
        <w:rPr>
          <w:b/>
          <w:bCs w:val="0"/>
        </w:rPr>
        <w:t xml:space="preserve">de </w:t>
      </w:r>
      <w:r w:rsidR="004457DC">
        <w:rPr>
          <w:b/>
          <w:bCs w:val="0"/>
        </w:rPr>
        <w:t>comida japonesa</w:t>
      </w:r>
      <w:r w:rsidR="00395DB0">
        <w:rPr>
          <w:b/>
          <w:bCs w:val="0"/>
        </w:rPr>
        <w:t xml:space="preserve"> especializado </w:t>
      </w:r>
      <w:r w:rsidR="004457DC">
        <w:rPr>
          <w:b/>
          <w:bCs w:val="0"/>
        </w:rPr>
        <w:t>en sushi</w:t>
      </w:r>
      <w:r w:rsidR="00395DB0">
        <w:rPr>
          <w:b/>
          <w:bCs w:val="0"/>
        </w:rPr>
        <w:t xml:space="preserve"> y </w:t>
      </w:r>
      <w:r w:rsidR="00530228">
        <w:rPr>
          <w:b/>
          <w:bCs w:val="0"/>
        </w:rPr>
        <w:t>sashimi</w:t>
      </w:r>
      <w:r w:rsidR="004457DC">
        <w:rPr>
          <w:b/>
          <w:bCs w:val="0"/>
        </w:rPr>
        <w:t xml:space="preserve">. </w:t>
      </w:r>
      <w:r w:rsidR="00530228" w:rsidRPr="00530228">
        <w:rPr>
          <w:b/>
          <w:bCs w:val="0"/>
        </w:rPr>
        <w:t xml:space="preserve">Durante la preparación de </w:t>
      </w:r>
      <w:r w:rsidR="00530228">
        <w:rPr>
          <w:b/>
          <w:bCs w:val="0"/>
        </w:rPr>
        <w:t xml:space="preserve">sus </w:t>
      </w:r>
      <w:r w:rsidR="00530228" w:rsidRPr="00530228">
        <w:rPr>
          <w:b/>
          <w:bCs w:val="0"/>
        </w:rPr>
        <w:t>platos</w:t>
      </w:r>
      <w:r w:rsidR="00530228">
        <w:rPr>
          <w:b/>
          <w:bCs w:val="0"/>
        </w:rPr>
        <w:t>,</w:t>
      </w:r>
      <w:r w:rsidR="00530228" w:rsidRPr="00530228">
        <w:rPr>
          <w:b/>
          <w:bCs w:val="0"/>
        </w:rPr>
        <w:t xml:space="preserve"> generan restos de pescado, arroz y vegetales, y es común que queden residuos de estos alimentos en las tablas de cortar, especialmente cuando se trabaja con pescado crudo, que puede dejar residuos orgánicos que deben eliminarse rápidamente para evitar la contaminación.</w:t>
      </w:r>
      <w:r w:rsidR="00530228">
        <w:rPr>
          <w:b/>
          <w:bCs w:val="0"/>
        </w:rPr>
        <w:t xml:space="preserve"> ¿</w:t>
      </w:r>
      <w:r w:rsidR="006D32D7">
        <w:rPr>
          <w:b/>
          <w:bCs w:val="0"/>
        </w:rPr>
        <w:t>Qué productos y útiles de limpieza se deben usar, según estas características?</w:t>
      </w:r>
    </w:p>
    <w:p w14:paraId="127B509F" w14:textId="77777777" w:rsidR="00D755B6" w:rsidRDefault="00D755B6" w:rsidP="00A9254D">
      <w:pPr>
        <w:pStyle w:val="IPE"/>
      </w:pPr>
    </w:p>
    <w:p w14:paraId="59EA4B06" w14:textId="5AF50B55" w:rsidR="00F5799E" w:rsidRPr="008507C1" w:rsidRDefault="006D32D7" w:rsidP="00A9254D">
      <w:pPr>
        <w:pStyle w:val="IPE"/>
      </w:pPr>
      <w:r>
        <w:t xml:space="preserve">Solución: </w:t>
      </w:r>
      <w:r w:rsidR="00F5799E" w:rsidRPr="008507C1">
        <w:t xml:space="preserve">Para </w:t>
      </w:r>
      <w:r w:rsidR="0020707B">
        <w:t>limpiar las</w:t>
      </w:r>
      <w:r w:rsidR="00F5799E" w:rsidRPr="008507C1">
        <w:t xml:space="preserve"> tablas de cortar después de cada uso, especialmente cuando se corta pescado crudo, </w:t>
      </w:r>
      <w:r w:rsidR="00E53A99" w:rsidRPr="008507C1">
        <w:t xml:space="preserve">se usará </w:t>
      </w:r>
      <w:r w:rsidR="00F5799E" w:rsidRPr="008507C1">
        <w:t xml:space="preserve">detergente </w:t>
      </w:r>
      <w:r w:rsidR="009C615F" w:rsidRPr="008507C1">
        <w:t>no iónico</w:t>
      </w:r>
      <w:r w:rsidR="00F5799E" w:rsidRPr="008507C1">
        <w:t xml:space="preserve"> y agua caliente</w:t>
      </w:r>
      <w:r w:rsidR="00E53A99" w:rsidRPr="008507C1">
        <w:t xml:space="preserve"> y se aplicará con</w:t>
      </w:r>
      <w:r w:rsidR="00F5799E" w:rsidRPr="008507C1">
        <w:t xml:space="preserve"> un paño de microfibra o un trapo limpio, que ayudará a eliminar la mayor parte de los residuos de comida. Si los residuos son más difíciles de quitar, como los restos pegados de arroz o grasa del pescado, se puede utilizar una esponja abrasiva (de las suaves, para no dañar la superficie de la tabla) o un estropajo para las manchas más persistentes. </w:t>
      </w:r>
    </w:p>
    <w:p w14:paraId="0C4D0192" w14:textId="77777777" w:rsidR="00F5799E" w:rsidRPr="008507C1" w:rsidRDefault="00F5799E" w:rsidP="00A9254D">
      <w:pPr>
        <w:pStyle w:val="IPE"/>
      </w:pPr>
    </w:p>
    <w:p w14:paraId="0141F018" w14:textId="37FF04E7" w:rsidR="00F5799E" w:rsidRPr="008507C1" w:rsidRDefault="00F5799E" w:rsidP="00A9254D">
      <w:pPr>
        <w:pStyle w:val="IPE"/>
      </w:pPr>
      <w:r w:rsidRPr="008507C1">
        <w:t xml:space="preserve">Una vez que la tabla está limpia, se debe proceder a su desinfección. En este caso, se puede aplicar un desinfectante alimentario basado en amonio cuaternario, que es eficaz contra bacterias como </w:t>
      </w:r>
      <w:r w:rsidRPr="00416F0D">
        <w:rPr>
          <w:i/>
          <w:iCs/>
        </w:rPr>
        <w:t>Salmonella</w:t>
      </w:r>
      <w:r w:rsidRPr="008507C1">
        <w:t xml:space="preserve"> o </w:t>
      </w:r>
      <w:r w:rsidR="005C74B8">
        <w:t>parásitos</w:t>
      </w:r>
      <w:r w:rsidR="00FC2919">
        <w:t xml:space="preserve"> como el </w:t>
      </w:r>
      <w:r w:rsidR="00215547">
        <w:rPr>
          <w:i/>
          <w:iCs/>
        </w:rPr>
        <w:t>Anisakis</w:t>
      </w:r>
      <w:r w:rsidRPr="008507C1">
        <w:t xml:space="preserve">, </w:t>
      </w:r>
      <w:r w:rsidR="005511A4">
        <w:t>que pueden estar presentes</w:t>
      </w:r>
      <w:r w:rsidRPr="008507C1">
        <w:t xml:space="preserve"> en el pescado crudo. El desinfectante debe dejarse actuar durante el tiempo recomendado por el fabricante para garantizar su efectividad. Para la aplicación de desinfectantes, es recomendable usar un paño limpio y absorbente para asegurarse de cubrir toda la superficie de la tabla de manera </w:t>
      </w:r>
      <w:r w:rsidR="005511A4">
        <w:t>uniforme</w:t>
      </w:r>
      <w:r w:rsidRPr="008507C1">
        <w:t>.</w:t>
      </w:r>
    </w:p>
    <w:p w14:paraId="59A48915" w14:textId="77777777" w:rsidR="00F5799E" w:rsidRPr="008507C1" w:rsidRDefault="00F5799E" w:rsidP="00A9254D">
      <w:pPr>
        <w:pStyle w:val="IPE"/>
      </w:pPr>
    </w:p>
    <w:p w14:paraId="4EEED2B8" w14:textId="6D522250" w:rsidR="00D755B6" w:rsidRDefault="00F5799E" w:rsidP="00A9254D">
      <w:pPr>
        <w:pStyle w:val="IPE"/>
      </w:pPr>
      <w:r w:rsidRPr="008507C1">
        <w:t xml:space="preserve">Después de la desinfección, </w:t>
      </w:r>
      <w:r w:rsidR="005511A4">
        <w:t>se tiene que</w:t>
      </w:r>
      <w:r w:rsidRPr="008507C1">
        <w:t xml:space="preserve"> enjuagar </w:t>
      </w:r>
      <w:r w:rsidR="005511A4">
        <w:t xml:space="preserve">la tabla </w:t>
      </w:r>
      <w:r w:rsidRPr="008507C1">
        <w:t>con agua limpia para eliminar cualquier residuo d</w:t>
      </w:r>
      <w:r w:rsidR="004D1DD0">
        <w:t>el producto</w:t>
      </w:r>
      <w:r w:rsidRPr="008507C1">
        <w:t xml:space="preserve">. </w:t>
      </w:r>
    </w:p>
    <w:p w14:paraId="70431690" w14:textId="77777777" w:rsidR="00D755B6" w:rsidRDefault="00D755B6" w:rsidP="00A9254D">
      <w:pPr>
        <w:pStyle w:val="IPE"/>
      </w:pPr>
    </w:p>
    <w:p w14:paraId="621A017F" w14:textId="3BC61112" w:rsidR="00AF0C3D" w:rsidRDefault="00AF0C3D" w:rsidP="00A9254D">
      <w:pPr>
        <w:pStyle w:val="IPE"/>
        <w:rPr>
          <w:b/>
          <w:bCs w:val="0"/>
        </w:rPr>
      </w:pPr>
      <w:r w:rsidRPr="00AF0C3D">
        <w:rPr>
          <w:b/>
          <w:bCs w:val="0"/>
        </w:rPr>
        <w:t xml:space="preserve">7. </w:t>
      </w:r>
      <w:r w:rsidR="00E479AA">
        <w:rPr>
          <w:b/>
          <w:bCs w:val="0"/>
        </w:rPr>
        <w:t xml:space="preserve">Relaciona la causa de cada </w:t>
      </w:r>
      <w:r w:rsidR="000C3127">
        <w:rPr>
          <w:b/>
          <w:bCs w:val="0"/>
        </w:rPr>
        <w:t>toxiinfección</w:t>
      </w:r>
      <w:r w:rsidR="00E479AA">
        <w:rPr>
          <w:b/>
          <w:bCs w:val="0"/>
        </w:rPr>
        <w:t xml:space="preserve"> alimentaria con la que corresponde: </w:t>
      </w:r>
    </w:p>
    <w:p w14:paraId="660F8397" w14:textId="77777777" w:rsidR="00577AEF" w:rsidRDefault="00577AEF" w:rsidP="00A9254D">
      <w:pPr>
        <w:pStyle w:val="IPE"/>
        <w:rPr>
          <w:b/>
          <w:bCs w:val="0"/>
        </w:rPr>
      </w:pPr>
    </w:p>
    <w:tbl>
      <w:tblPr>
        <w:tblStyle w:val="Tablaconcuadrcula"/>
        <w:tblW w:w="0" w:type="auto"/>
        <w:tblLook w:val="04A0" w:firstRow="1" w:lastRow="0" w:firstColumn="1" w:lastColumn="0" w:noHBand="0" w:noVBand="1"/>
      </w:tblPr>
      <w:tblGrid>
        <w:gridCol w:w="4790"/>
        <w:gridCol w:w="1159"/>
        <w:gridCol w:w="852"/>
        <w:gridCol w:w="1693"/>
      </w:tblGrid>
      <w:tr w:rsidR="00E07858" w14:paraId="2CC72D77" w14:textId="77777777" w:rsidTr="00124196">
        <w:tc>
          <w:tcPr>
            <w:tcW w:w="4790" w:type="dxa"/>
            <w:tcBorders>
              <w:top w:val="nil"/>
              <w:left w:val="nil"/>
            </w:tcBorders>
          </w:tcPr>
          <w:p w14:paraId="63DE91C2" w14:textId="77777777" w:rsidR="00E07858" w:rsidRDefault="00E07858" w:rsidP="00A9254D">
            <w:pPr>
              <w:pStyle w:val="IPE"/>
              <w:rPr>
                <w:b/>
                <w:bCs w:val="0"/>
              </w:rPr>
            </w:pPr>
          </w:p>
        </w:tc>
        <w:tc>
          <w:tcPr>
            <w:tcW w:w="1159" w:type="dxa"/>
            <w:vAlign w:val="center"/>
          </w:tcPr>
          <w:p w14:paraId="6C8AAF44" w14:textId="50354633" w:rsidR="00E07858" w:rsidRPr="00BD0C9F" w:rsidRDefault="00E479AA" w:rsidP="00A9254D">
            <w:pPr>
              <w:pStyle w:val="IPE"/>
              <w:rPr>
                <w:b/>
                <w:bCs w:val="0"/>
                <w:i/>
                <w:iCs/>
              </w:rPr>
            </w:pPr>
            <w:r w:rsidRPr="00BD0C9F">
              <w:rPr>
                <w:b/>
                <w:bCs w:val="0"/>
                <w:i/>
                <w:iCs/>
              </w:rPr>
              <w:t>Salmonella</w:t>
            </w:r>
          </w:p>
        </w:tc>
        <w:tc>
          <w:tcPr>
            <w:tcW w:w="852" w:type="dxa"/>
            <w:vAlign w:val="center"/>
          </w:tcPr>
          <w:p w14:paraId="1F72C435" w14:textId="552EF80B" w:rsidR="00E07858" w:rsidRPr="00BD0C9F" w:rsidRDefault="00E479AA" w:rsidP="00A9254D">
            <w:pPr>
              <w:pStyle w:val="IPE"/>
              <w:rPr>
                <w:b/>
                <w:bCs w:val="0"/>
                <w:i/>
                <w:iCs/>
              </w:rPr>
            </w:pPr>
            <w:r w:rsidRPr="00BD0C9F">
              <w:rPr>
                <w:b/>
                <w:bCs w:val="0"/>
                <w:i/>
                <w:iCs/>
              </w:rPr>
              <w:t xml:space="preserve">E. </w:t>
            </w:r>
            <w:proofErr w:type="spellStart"/>
            <w:r w:rsidRPr="00BD0C9F">
              <w:rPr>
                <w:b/>
                <w:bCs w:val="0"/>
                <w:i/>
                <w:iCs/>
              </w:rPr>
              <w:t>coli</w:t>
            </w:r>
            <w:proofErr w:type="spellEnd"/>
          </w:p>
        </w:tc>
        <w:tc>
          <w:tcPr>
            <w:tcW w:w="1693" w:type="dxa"/>
            <w:vAlign w:val="center"/>
          </w:tcPr>
          <w:p w14:paraId="10DDEC84" w14:textId="289EAA4E" w:rsidR="00E07858" w:rsidRPr="00BD0C9F" w:rsidRDefault="000C3127" w:rsidP="00A9254D">
            <w:pPr>
              <w:pStyle w:val="IPE"/>
              <w:rPr>
                <w:b/>
                <w:bCs w:val="0"/>
                <w:i/>
                <w:iCs/>
              </w:rPr>
            </w:pPr>
            <w:r w:rsidRPr="00BD0C9F">
              <w:rPr>
                <w:b/>
                <w:bCs w:val="0"/>
                <w:i/>
                <w:iCs/>
              </w:rPr>
              <w:t xml:space="preserve">Vibrio </w:t>
            </w:r>
            <w:proofErr w:type="spellStart"/>
            <w:r w:rsidRPr="00BD0C9F">
              <w:rPr>
                <w:b/>
                <w:bCs w:val="0"/>
                <w:i/>
                <w:iCs/>
              </w:rPr>
              <w:t>parahaemolyticus</w:t>
            </w:r>
            <w:proofErr w:type="spellEnd"/>
          </w:p>
        </w:tc>
      </w:tr>
      <w:tr w:rsidR="00E07858" w14:paraId="1265B8F4" w14:textId="77777777" w:rsidTr="00BD0C9F">
        <w:tc>
          <w:tcPr>
            <w:tcW w:w="4790" w:type="dxa"/>
          </w:tcPr>
          <w:p w14:paraId="6AB4BD2F" w14:textId="12017DB4" w:rsidR="00E07858" w:rsidRPr="00A503B1" w:rsidRDefault="00A503B1" w:rsidP="00A9254D">
            <w:pPr>
              <w:pStyle w:val="IPE"/>
              <w:rPr>
                <w:b/>
                <w:bCs w:val="0"/>
              </w:rPr>
            </w:pPr>
            <w:r w:rsidRPr="00A503B1">
              <w:rPr>
                <w:b/>
                <w:bCs w:val="0"/>
              </w:rPr>
              <w:t>Consumo de pescado y marisco contaminados, crudos o mal cocinados.</w:t>
            </w:r>
          </w:p>
        </w:tc>
        <w:tc>
          <w:tcPr>
            <w:tcW w:w="1159" w:type="dxa"/>
          </w:tcPr>
          <w:p w14:paraId="32CAA870" w14:textId="77777777" w:rsidR="00E07858" w:rsidRDefault="00E07858" w:rsidP="00A9254D">
            <w:pPr>
              <w:pStyle w:val="IPE"/>
              <w:rPr>
                <w:b/>
                <w:bCs w:val="0"/>
              </w:rPr>
            </w:pPr>
          </w:p>
        </w:tc>
        <w:tc>
          <w:tcPr>
            <w:tcW w:w="852" w:type="dxa"/>
          </w:tcPr>
          <w:p w14:paraId="23ACADE6" w14:textId="77777777" w:rsidR="00E07858" w:rsidRDefault="00E07858" w:rsidP="00A9254D">
            <w:pPr>
              <w:pStyle w:val="IPE"/>
              <w:rPr>
                <w:b/>
                <w:bCs w:val="0"/>
              </w:rPr>
            </w:pPr>
          </w:p>
        </w:tc>
        <w:tc>
          <w:tcPr>
            <w:tcW w:w="1693" w:type="dxa"/>
          </w:tcPr>
          <w:p w14:paraId="329828E5" w14:textId="77777777" w:rsidR="00E07858" w:rsidRDefault="00E07858" w:rsidP="00A9254D">
            <w:pPr>
              <w:pStyle w:val="IPE"/>
              <w:rPr>
                <w:b/>
                <w:bCs w:val="0"/>
              </w:rPr>
            </w:pPr>
          </w:p>
        </w:tc>
      </w:tr>
      <w:tr w:rsidR="00E479AA" w14:paraId="02DA7176" w14:textId="77777777" w:rsidTr="00BD0C9F">
        <w:tc>
          <w:tcPr>
            <w:tcW w:w="4790" w:type="dxa"/>
          </w:tcPr>
          <w:p w14:paraId="0AF33013" w14:textId="3FC1CA8C" w:rsidR="00E479AA" w:rsidRPr="00507173" w:rsidRDefault="00507173" w:rsidP="00A9254D">
            <w:pPr>
              <w:pStyle w:val="IPE"/>
              <w:rPr>
                <w:b/>
                <w:bCs w:val="0"/>
              </w:rPr>
            </w:pPr>
            <w:r w:rsidRPr="00507173">
              <w:rPr>
                <w:b/>
                <w:bCs w:val="0"/>
              </w:rPr>
              <w:t>Contagios por consumo de alimentos (carne cruda, huevos, productos lácteos no pasteurizados) o agua contaminados.</w:t>
            </w:r>
          </w:p>
        </w:tc>
        <w:tc>
          <w:tcPr>
            <w:tcW w:w="1159" w:type="dxa"/>
          </w:tcPr>
          <w:p w14:paraId="2E87F08A" w14:textId="77777777" w:rsidR="00E479AA" w:rsidRDefault="00E479AA" w:rsidP="00A9254D">
            <w:pPr>
              <w:pStyle w:val="IPE"/>
              <w:rPr>
                <w:b/>
                <w:bCs w:val="0"/>
              </w:rPr>
            </w:pPr>
          </w:p>
        </w:tc>
        <w:tc>
          <w:tcPr>
            <w:tcW w:w="852" w:type="dxa"/>
          </w:tcPr>
          <w:p w14:paraId="3023BB58" w14:textId="77777777" w:rsidR="00E479AA" w:rsidRDefault="00E479AA" w:rsidP="00A9254D">
            <w:pPr>
              <w:pStyle w:val="IPE"/>
              <w:rPr>
                <w:b/>
                <w:bCs w:val="0"/>
              </w:rPr>
            </w:pPr>
          </w:p>
        </w:tc>
        <w:tc>
          <w:tcPr>
            <w:tcW w:w="1693" w:type="dxa"/>
          </w:tcPr>
          <w:p w14:paraId="65D6F74F" w14:textId="77777777" w:rsidR="00E479AA" w:rsidRDefault="00E479AA" w:rsidP="00A9254D">
            <w:pPr>
              <w:pStyle w:val="IPE"/>
              <w:rPr>
                <w:b/>
                <w:bCs w:val="0"/>
              </w:rPr>
            </w:pPr>
          </w:p>
        </w:tc>
      </w:tr>
    </w:tbl>
    <w:p w14:paraId="7F92AC6E" w14:textId="77777777" w:rsidR="00E07858" w:rsidRPr="00AF0C3D" w:rsidRDefault="00E07858" w:rsidP="00A9254D">
      <w:pPr>
        <w:pStyle w:val="IPE"/>
        <w:rPr>
          <w:b/>
          <w:bCs w:val="0"/>
        </w:rPr>
      </w:pPr>
    </w:p>
    <w:p w14:paraId="5864265A" w14:textId="3E989648" w:rsidR="008D1598" w:rsidRDefault="004C0066" w:rsidP="00A9254D">
      <w:pPr>
        <w:pStyle w:val="IPE"/>
      </w:pPr>
      <w:r>
        <w:t>Solución:</w:t>
      </w:r>
    </w:p>
    <w:p w14:paraId="2B75C616" w14:textId="77777777" w:rsidR="004C0066" w:rsidRDefault="004C0066" w:rsidP="00A9254D">
      <w:pPr>
        <w:pStyle w:val="IPE"/>
      </w:pPr>
    </w:p>
    <w:tbl>
      <w:tblPr>
        <w:tblStyle w:val="Tablaconcuadrcula"/>
        <w:tblW w:w="0" w:type="auto"/>
        <w:tblLook w:val="04A0" w:firstRow="1" w:lastRow="0" w:firstColumn="1" w:lastColumn="0" w:noHBand="0" w:noVBand="1"/>
      </w:tblPr>
      <w:tblGrid>
        <w:gridCol w:w="4790"/>
        <w:gridCol w:w="1159"/>
        <w:gridCol w:w="852"/>
        <w:gridCol w:w="1693"/>
      </w:tblGrid>
      <w:tr w:rsidR="004C0066" w14:paraId="767CC01C" w14:textId="77777777" w:rsidTr="00124196">
        <w:tc>
          <w:tcPr>
            <w:tcW w:w="4790" w:type="dxa"/>
            <w:tcBorders>
              <w:top w:val="nil"/>
              <w:left w:val="nil"/>
            </w:tcBorders>
          </w:tcPr>
          <w:p w14:paraId="515BC132" w14:textId="77777777" w:rsidR="004C0066" w:rsidRPr="00124196" w:rsidRDefault="004C0066" w:rsidP="00A9254D">
            <w:pPr>
              <w:pStyle w:val="IPE"/>
            </w:pPr>
          </w:p>
        </w:tc>
        <w:tc>
          <w:tcPr>
            <w:tcW w:w="1159" w:type="dxa"/>
            <w:vAlign w:val="center"/>
          </w:tcPr>
          <w:p w14:paraId="480F6BCA" w14:textId="77777777" w:rsidR="004C0066" w:rsidRPr="00124196" w:rsidRDefault="004C0066" w:rsidP="00A9254D">
            <w:pPr>
              <w:pStyle w:val="IPE"/>
              <w:rPr>
                <w:i/>
                <w:iCs/>
              </w:rPr>
            </w:pPr>
            <w:r w:rsidRPr="00124196">
              <w:rPr>
                <w:i/>
                <w:iCs/>
              </w:rPr>
              <w:t>Salmonella</w:t>
            </w:r>
          </w:p>
        </w:tc>
        <w:tc>
          <w:tcPr>
            <w:tcW w:w="852" w:type="dxa"/>
            <w:vAlign w:val="center"/>
          </w:tcPr>
          <w:p w14:paraId="12A6FFF3" w14:textId="77777777" w:rsidR="004C0066" w:rsidRPr="00124196" w:rsidRDefault="004C0066" w:rsidP="00A9254D">
            <w:pPr>
              <w:pStyle w:val="IPE"/>
              <w:rPr>
                <w:i/>
                <w:iCs/>
              </w:rPr>
            </w:pPr>
            <w:r w:rsidRPr="00124196">
              <w:rPr>
                <w:i/>
                <w:iCs/>
              </w:rPr>
              <w:t xml:space="preserve">E. </w:t>
            </w:r>
            <w:proofErr w:type="spellStart"/>
            <w:r w:rsidRPr="00124196">
              <w:rPr>
                <w:i/>
                <w:iCs/>
              </w:rPr>
              <w:t>coli</w:t>
            </w:r>
            <w:proofErr w:type="spellEnd"/>
          </w:p>
        </w:tc>
        <w:tc>
          <w:tcPr>
            <w:tcW w:w="1693" w:type="dxa"/>
            <w:vAlign w:val="center"/>
          </w:tcPr>
          <w:p w14:paraId="2BB5BF68" w14:textId="77777777" w:rsidR="004C0066" w:rsidRPr="00124196" w:rsidRDefault="004C0066" w:rsidP="00A9254D">
            <w:pPr>
              <w:pStyle w:val="IPE"/>
              <w:rPr>
                <w:i/>
                <w:iCs/>
              </w:rPr>
            </w:pPr>
            <w:r w:rsidRPr="00124196">
              <w:rPr>
                <w:i/>
                <w:iCs/>
              </w:rPr>
              <w:t xml:space="preserve">Vibrio </w:t>
            </w:r>
            <w:proofErr w:type="spellStart"/>
            <w:r w:rsidRPr="00124196">
              <w:rPr>
                <w:i/>
                <w:iCs/>
              </w:rPr>
              <w:t>parahaemolyticus</w:t>
            </w:r>
            <w:proofErr w:type="spellEnd"/>
          </w:p>
        </w:tc>
      </w:tr>
      <w:tr w:rsidR="004C0066" w14:paraId="694B7883" w14:textId="77777777" w:rsidTr="00124196">
        <w:tc>
          <w:tcPr>
            <w:tcW w:w="4790" w:type="dxa"/>
          </w:tcPr>
          <w:p w14:paraId="2AE2EF61" w14:textId="77777777" w:rsidR="004C0066" w:rsidRPr="00124196" w:rsidRDefault="004C0066" w:rsidP="00A9254D">
            <w:pPr>
              <w:pStyle w:val="IPE"/>
            </w:pPr>
            <w:r w:rsidRPr="00124196">
              <w:t>Consumo de pescado y marisco contaminados, crudos o mal cocinados.</w:t>
            </w:r>
          </w:p>
        </w:tc>
        <w:tc>
          <w:tcPr>
            <w:tcW w:w="1159" w:type="dxa"/>
            <w:vAlign w:val="center"/>
          </w:tcPr>
          <w:p w14:paraId="5F0623CB" w14:textId="32353F23" w:rsidR="004C0066" w:rsidRPr="00124196" w:rsidRDefault="004C0066" w:rsidP="00A9254D">
            <w:pPr>
              <w:pStyle w:val="IPE"/>
            </w:pPr>
          </w:p>
        </w:tc>
        <w:tc>
          <w:tcPr>
            <w:tcW w:w="852" w:type="dxa"/>
            <w:vAlign w:val="center"/>
          </w:tcPr>
          <w:p w14:paraId="09980E7F" w14:textId="77777777" w:rsidR="004C0066" w:rsidRPr="00124196" w:rsidRDefault="004C0066" w:rsidP="00A9254D">
            <w:pPr>
              <w:pStyle w:val="IPE"/>
            </w:pPr>
          </w:p>
        </w:tc>
        <w:tc>
          <w:tcPr>
            <w:tcW w:w="1693" w:type="dxa"/>
            <w:vAlign w:val="center"/>
          </w:tcPr>
          <w:p w14:paraId="2970D942" w14:textId="5CC21EA5" w:rsidR="004C0066" w:rsidRPr="00124196" w:rsidRDefault="004C0066" w:rsidP="00A9254D">
            <w:pPr>
              <w:pStyle w:val="IPE"/>
            </w:pPr>
            <w:r w:rsidRPr="00124196">
              <w:t>×</w:t>
            </w:r>
          </w:p>
        </w:tc>
      </w:tr>
      <w:tr w:rsidR="004C0066" w14:paraId="6EFCA054" w14:textId="77777777" w:rsidTr="00124196">
        <w:tc>
          <w:tcPr>
            <w:tcW w:w="4790" w:type="dxa"/>
          </w:tcPr>
          <w:p w14:paraId="0F5B3AFF" w14:textId="77777777" w:rsidR="004C0066" w:rsidRPr="00124196" w:rsidRDefault="004C0066" w:rsidP="00A9254D">
            <w:pPr>
              <w:pStyle w:val="IPE"/>
            </w:pPr>
            <w:r w:rsidRPr="00124196">
              <w:t>Contagios por consumo de alimentos (carne cruda, huevos, productos lácteos no pasteurizados) o agua contaminados.</w:t>
            </w:r>
          </w:p>
        </w:tc>
        <w:tc>
          <w:tcPr>
            <w:tcW w:w="1159" w:type="dxa"/>
            <w:vAlign w:val="center"/>
          </w:tcPr>
          <w:p w14:paraId="39F2F059" w14:textId="1E1E7583" w:rsidR="004C0066" w:rsidRPr="00124196" w:rsidRDefault="004C0066" w:rsidP="00A9254D">
            <w:pPr>
              <w:pStyle w:val="IPE"/>
            </w:pPr>
            <w:r w:rsidRPr="00124196">
              <w:t>×</w:t>
            </w:r>
          </w:p>
        </w:tc>
        <w:tc>
          <w:tcPr>
            <w:tcW w:w="852" w:type="dxa"/>
            <w:vAlign w:val="center"/>
          </w:tcPr>
          <w:p w14:paraId="37FB6A83" w14:textId="118EE6B4" w:rsidR="004C0066" w:rsidRPr="00124196" w:rsidRDefault="004C0066" w:rsidP="00A9254D">
            <w:pPr>
              <w:pStyle w:val="IPE"/>
            </w:pPr>
            <w:r w:rsidRPr="00124196">
              <w:t>×</w:t>
            </w:r>
          </w:p>
        </w:tc>
        <w:tc>
          <w:tcPr>
            <w:tcW w:w="1693" w:type="dxa"/>
            <w:vAlign w:val="center"/>
          </w:tcPr>
          <w:p w14:paraId="4331F7CF" w14:textId="77777777" w:rsidR="004C0066" w:rsidRPr="00124196" w:rsidRDefault="004C0066" w:rsidP="00A9254D">
            <w:pPr>
              <w:pStyle w:val="IPE"/>
            </w:pPr>
          </w:p>
        </w:tc>
      </w:tr>
    </w:tbl>
    <w:p w14:paraId="0D2F0D0F" w14:textId="77777777" w:rsidR="008D1598" w:rsidRDefault="008D1598" w:rsidP="00A9254D">
      <w:pPr>
        <w:pStyle w:val="IPE"/>
      </w:pPr>
    </w:p>
    <w:p w14:paraId="2EE04049" w14:textId="0930EAD4" w:rsidR="00D755B6" w:rsidRPr="00CF1CA7" w:rsidRDefault="00AF0C3D" w:rsidP="00A9254D">
      <w:pPr>
        <w:pStyle w:val="IPE"/>
        <w:rPr>
          <w:b/>
        </w:rPr>
      </w:pPr>
      <w:r w:rsidRPr="00CF1CA7">
        <w:rPr>
          <w:b/>
        </w:rPr>
        <w:t>8</w:t>
      </w:r>
      <w:r w:rsidR="005511A4" w:rsidRPr="00CF1CA7">
        <w:rPr>
          <w:b/>
        </w:rPr>
        <w:t xml:space="preserve">. </w:t>
      </w:r>
      <w:r w:rsidR="00412F73" w:rsidRPr="00CF1CA7">
        <w:rPr>
          <w:b/>
        </w:rPr>
        <w:t>El momento de descongelar un producto se puede llevar a cabo a temperatura ambiente</w:t>
      </w:r>
      <w:r w:rsidR="008D1598" w:rsidRPr="00CF1CA7">
        <w:rPr>
          <w:b/>
        </w:rPr>
        <w:t>,</w:t>
      </w:r>
      <w:r w:rsidR="00FD3CCF" w:rsidRPr="00CF1CA7">
        <w:rPr>
          <w:b/>
        </w:rPr>
        <w:t xml:space="preserve"> si se saca del congelador el día previo a su uso. </w:t>
      </w:r>
    </w:p>
    <w:p w14:paraId="76A75E74" w14:textId="77777777" w:rsidR="00FD3CCF" w:rsidRPr="00CF1CA7" w:rsidRDefault="00FD3CCF" w:rsidP="00A9254D">
      <w:pPr>
        <w:pStyle w:val="IPE"/>
        <w:rPr>
          <w:b/>
        </w:rPr>
      </w:pPr>
    </w:p>
    <w:p w14:paraId="50AA0A4E" w14:textId="44DC2F9C" w:rsidR="00FD3CCF" w:rsidRPr="00CF1CA7" w:rsidRDefault="00FD3CCF" w:rsidP="00A9254D">
      <w:pPr>
        <w:pStyle w:val="IPE"/>
        <w:rPr>
          <w:b/>
        </w:rPr>
      </w:pPr>
      <w:r w:rsidRPr="00CF1CA7">
        <w:rPr>
          <w:b/>
        </w:rPr>
        <w:t xml:space="preserve">a. Verdadero. </w:t>
      </w:r>
    </w:p>
    <w:p w14:paraId="0A1D1962" w14:textId="2F6947FA" w:rsidR="00FD3CCF" w:rsidRPr="00CF1CA7" w:rsidRDefault="00FD3CCF" w:rsidP="00A9254D">
      <w:pPr>
        <w:pStyle w:val="IPE"/>
        <w:rPr>
          <w:b/>
        </w:rPr>
      </w:pPr>
      <w:r w:rsidRPr="00CF1CA7">
        <w:rPr>
          <w:b/>
        </w:rPr>
        <w:t xml:space="preserve">b. Falso. </w:t>
      </w:r>
    </w:p>
    <w:p w14:paraId="736BE59A" w14:textId="77777777" w:rsidR="00FD3CCF" w:rsidRPr="00CF1CA7" w:rsidRDefault="00FD3CCF" w:rsidP="00A9254D">
      <w:pPr>
        <w:pStyle w:val="IPE"/>
      </w:pPr>
    </w:p>
    <w:p w14:paraId="4B4C504A" w14:textId="43D15DA4" w:rsidR="00FD3CCF" w:rsidRPr="00FD3CCF" w:rsidRDefault="00FD3CCF" w:rsidP="00A9254D">
      <w:pPr>
        <w:pStyle w:val="IPE"/>
      </w:pPr>
      <w:r w:rsidRPr="00CF1CA7">
        <w:t xml:space="preserve">Solución: b. Falso. La descongelación siempre debe ser lenta y a temperaturas de </w:t>
      </w:r>
      <w:r w:rsidR="00153642" w:rsidRPr="00CF1CA7">
        <w:t>refrigeración</w:t>
      </w:r>
      <w:r w:rsidRPr="00CF1CA7">
        <w:t>, es decir, en l</w:t>
      </w:r>
      <w:r w:rsidR="00153642" w:rsidRPr="00CF1CA7">
        <w:t>as cámaras de descongelación o las refrigeradoras</w:t>
      </w:r>
      <w:r w:rsidRPr="00CF1CA7">
        <w:t xml:space="preserve">. </w:t>
      </w:r>
      <w:r w:rsidR="004C2ADF" w:rsidRPr="00CF1CA7">
        <w:t xml:space="preserve">También se puede usar microondas, pero </w:t>
      </w:r>
      <w:r w:rsidR="00DF3B85" w:rsidRPr="00CF1CA7">
        <w:t>no es recomendable descongelarlo a temperatura ambiente ya que favorece el crecimiento de microorganismos.</w:t>
      </w:r>
      <w:r w:rsidR="00DF3B85">
        <w:t xml:space="preserve"> </w:t>
      </w:r>
    </w:p>
    <w:p w14:paraId="14E58170" w14:textId="77777777" w:rsidR="00D755B6" w:rsidRDefault="00D755B6" w:rsidP="00A9254D">
      <w:pPr>
        <w:pStyle w:val="IPE"/>
      </w:pPr>
    </w:p>
    <w:p w14:paraId="383695D6" w14:textId="1B22B76E" w:rsidR="00131212" w:rsidRDefault="00D905A2" w:rsidP="00A9254D">
      <w:pPr>
        <w:spacing w:after="0" w:line="240" w:lineRule="auto"/>
        <w:jc w:val="both"/>
        <w:rPr>
          <w:rFonts w:ascii="Times New Roman" w:hAnsi="Times New Roman" w:cs="Times New Roman"/>
          <w:b/>
          <w:bCs/>
          <w:sz w:val="20"/>
          <w:szCs w:val="20"/>
        </w:rPr>
      </w:pPr>
      <w:r w:rsidRPr="00131212">
        <w:rPr>
          <w:rFonts w:ascii="Times New Roman" w:hAnsi="Times New Roman" w:cs="Times New Roman"/>
          <w:b/>
        </w:rPr>
        <w:t>9</w:t>
      </w:r>
      <w:r w:rsidRPr="00D905A2">
        <w:rPr>
          <w:b/>
        </w:rPr>
        <w:t>.</w:t>
      </w:r>
      <w:r w:rsidR="00591534">
        <w:rPr>
          <w:b/>
          <w:bCs/>
        </w:rPr>
        <w:t xml:space="preserve"> </w:t>
      </w:r>
      <w:r w:rsidR="00F06DDB">
        <w:rPr>
          <w:rFonts w:ascii="Times New Roman" w:hAnsi="Times New Roman" w:cs="Times New Roman"/>
          <w:b/>
          <w:bCs/>
          <w:sz w:val="20"/>
          <w:szCs w:val="20"/>
        </w:rPr>
        <w:t xml:space="preserve">En un establecimiento de restauración, los géneros deben seguir </w:t>
      </w:r>
      <w:r w:rsidR="00131212">
        <w:rPr>
          <w:rFonts w:ascii="Times New Roman" w:hAnsi="Times New Roman" w:cs="Times New Roman"/>
          <w:b/>
          <w:bCs/>
          <w:sz w:val="20"/>
          <w:szCs w:val="20"/>
        </w:rPr>
        <w:t xml:space="preserve">un método de orden establecido que consiste en: </w:t>
      </w:r>
      <w:r w:rsidR="00A15BB7">
        <w:rPr>
          <w:rFonts w:ascii="Times New Roman" w:hAnsi="Times New Roman" w:cs="Times New Roman"/>
          <w:b/>
          <w:bCs/>
          <w:sz w:val="20"/>
          <w:szCs w:val="20"/>
        </w:rPr>
        <w:t>(respuesta múltiple)</w:t>
      </w:r>
    </w:p>
    <w:p w14:paraId="429EB6C7" w14:textId="77777777" w:rsidR="00A15BB7" w:rsidRDefault="00A15BB7" w:rsidP="00A9254D">
      <w:pPr>
        <w:spacing w:after="0" w:line="240" w:lineRule="auto"/>
        <w:jc w:val="both"/>
        <w:rPr>
          <w:rFonts w:ascii="Times New Roman" w:hAnsi="Times New Roman" w:cs="Times New Roman"/>
          <w:b/>
          <w:bCs/>
          <w:sz w:val="20"/>
          <w:szCs w:val="20"/>
        </w:rPr>
      </w:pPr>
    </w:p>
    <w:p w14:paraId="477013B6" w14:textId="77777777" w:rsidR="00A15BB7" w:rsidRPr="00A15BB7" w:rsidRDefault="00A15BB7" w:rsidP="00A9254D">
      <w:pPr>
        <w:pStyle w:val="IPE"/>
        <w:rPr>
          <w:b/>
          <w:bCs w:val="0"/>
        </w:rPr>
      </w:pPr>
      <w:r w:rsidRPr="00A15BB7">
        <w:rPr>
          <w:b/>
          <w:bCs w:val="0"/>
        </w:rPr>
        <w:t>a. Almacenar los productos perecederos en refrigeradores y congeladores.</w:t>
      </w:r>
    </w:p>
    <w:p w14:paraId="7B3EB89A" w14:textId="77777777" w:rsidR="00A15BB7" w:rsidRPr="00A15BB7" w:rsidRDefault="00A15BB7" w:rsidP="00A9254D">
      <w:pPr>
        <w:pStyle w:val="IPE"/>
        <w:rPr>
          <w:b/>
          <w:bCs w:val="0"/>
        </w:rPr>
      </w:pPr>
      <w:r w:rsidRPr="00A15BB7">
        <w:rPr>
          <w:b/>
          <w:bCs w:val="0"/>
        </w:rPr>
        <w:lastRenderedPageBreak/>
        <w:t>b. Organizar los productos no perecederos en despensas o estantes, mezclando tipos de alimentos para ahorrar espacio.</w:t>
      </w:r>
    </w:p>
    <w:p w14:paraId="21F2DE97" w14:textId="5533E3EE" w:rsidR="00A15BB7" w:rsidRPr="00A15BB7" w:rsidRDefault="00A15BB7" w:rsidP="00A9254D">
      <w:pPr>
        <w:pStyle w:val="IPE"/>
        <w:rPr>
          <w:b/>
          <w:bCs w:val="0"/>
        </w:rPr>
      </w:pPr>
      <w:r w:rsidRPr="00A15BB7">
        <w:rPr>
          <w:b/>
          <w:bCs w:val="0"/>
        </w:rPr>
        <w:t xml:space="preserve">c. Utilizar el método </w:t>
      </w:r>
      <w:r w:rsidR="00DD52E1">
        <w:rPr>
          <w:b/>
          <w:bCs w:val="0"/>
        </w:rPr>
        <w:t>FIFO (</w:t>
      </w:r>
      <w:proofErr w:type="spellStart"/>
      <w:r w:rsidR="00DD52E1">
        <w:rPr>
          <w:b/>
          <w:bCs w:val="0"/>
        </w:rPr>
        <w:t>First</w:t>
      </w:r>
      <w:proofErr w:type="spellEnd"/>
      <w:r w:rsidR="00DD52E1">
        <w:rPr>
          <w:b/>
          <w:bCs w:val="0"/>
        </w:rPr>
        <w:t xml:space="preserve"> In</w:t>
      </w:r>
      <w:r w:rsidR="0077250A">
        <w:rPr>
          <w:b/>
          <w:bCs w:val="0"/>
        </w:rPr>
        <w:t xml:space="preserve"> </w:t>
      </w:r>
      <w:proofErr w:type="spellStart"/>
      <w:r w:rsidR="00DD52E1">
        <w:rPr>
          <w:b/>
          <w:bCs w:val="0"/>
        </w:rPr>
        <w:t>First</w:t>
      </w:r>
      <w:proofErr w:type="spellEnd"/>
      <w:r w:rsidR="00DD52E1">
        <w:rPr>
          <w:b/>
          <w:bCs w:val="0"/>
        </w:rPr>
        <w:t xml:space="preserve"> </w:t>
      </w:r>
      <w:proofErr w:type="spellStart"/>
      <w:r w:rsidR="00DD52E1">
        <w:rPr>
          <w:b/>
          <w:bCs w:val="0"/>
        </w:rPr>
        <w:t>Out</w:t>
      </w:r>
      <w:proofErr w:type="spellEnd"/>
      <w:r w:rsidR="00DD52E1">
        <w:rPr>
          <w:b/>
          <w:bCs w:val="0"/>
        </w:rPr>
        <w:t xml:space="preserve">, </w:t>
      </w:r>
      <w:r w:rsidRPr="00A15BB7">
        <w:rPr>
          <w:b/>
          <w:bCs w:val="0"/>
        </w:rPr>
        <w:t>el primero que entra es el primero que sale</w:t>
      </w:r>
      <w:r w:rsidR="00DD52E1">
        <w:rPr>
          <w:b/>
          <w:bCs w:val="0"/>
        </w:rPr>
        <w:t>)</w:t>
      </w:r>
      <w:r w:rsidRPr="00A15BB7">
        <w:rPr>
          <w:b/>
          <w:bCs w:val="0"/>
        </w:rPr>
        <w:t xml:space="preserve"> para rotar los alimentos.</w:t>
      </w:r>
    </w:p>
    <w:p w14:paraId="3061ECBE" w14:textId="1D46AE35" w:rsidR="00A15BB7" w:rsidRPr="00A15BB7" w:rsidRDefault="00A15BB7" w:rsidP="00A9254D">
      <w:pPr>
        <w:pStyle w:val="IPE"/>
        <w:rPr>
          <w:b/>
          <w:bCs w:val="0"/>
        </w:rPr>
      </w:pPr>
      <w:r w:rsidRPr="00A15BB7">
        <w:rPr>
          <w:b/>
          <w:bCs w:val="0"/>
        </w:rPr>
        <w:t>d. Colocar los alimentos perecederos en estanterías sin refrigeración para facilitar su acceso.</w:t>
      </w:r>
    </w:p>
    <w:p w14:paraId="43AF299B" w14:textId="77777777" w:rsidR="00A15BB7" w:rsidRDefault="00A15BB7" w:rsidP="00A9254D">
      <w:pPr>
        <w:spacing w:after="0" w:line="240" w:lineRule="auto"/>
        <w:jc w:val="both"/>
        <w:rPr>
          <w:rFonts w:ascii="Times New Roman" w:hAnsi="Times New Roman" w:cs="Times New Roman"/>
          <w:b/>
          <w:bCs/>
          <w:sz w:val="20"/>
          <w:szCs w:val="20"/>
        </w:rPr>
      </w:pPr>
    </w:p>
    <w:p w14:paraId="044E04BD" w14:textId="3EBE7BB9" w:rsidR="007D72D7" w:rsidRPr="007D72D7" w:rsidRDefault="000A0F20" w:rsidP="00A9254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Solución: a y c. </w:t>
      </w:r>
      <w:r w:rsidR="007D72D7" w:rsidRPr="007D72D7">
        <w:rPr>
          <w:rFonts w:ascii="Times New Roman" w:hAnsi="Times New Roman" w:cs="Times New Roman"/>
          <w:sz w:val="20"/>
          <w:szCs w:val="20"/>
        </w:rPr>
        <w:t>Los alimentos no perecederos deben almacenarse organizados por tipo en estantes o despensas, sin mezclar categorías</w:t>
      </w:r>
      <w:r w:rsidR="007D72D7">
        <w:rPr>
          <w:rFonts w:ascii="Times New Roman" w:hAnsi="Times New Roman" w:cs="Times New Roman"/>
          <w:sz w:val="20"/>
          <w:szCs w:val="20"/>
        </w:rPr>
        <w:t xml:space="preserve">; los productos perecederos deben almacenarse en refrigeradores </w:t>
      </w:r>
      <w:r w:rsidR="00295210">
        <w:rPr>
          <w:rFonts w:ascii="Times New Roman" w:hAnsi="Times New Roman" w:cs="Times New Roman"/>
          <w:sz w:val="20"/>
          <w:szCs w:val="20"/>
        </w:rPr>
        <w:t xml:space="preserve">para mantenerse en condiciones óptimas de conservación. </w:t>
      </w:r>
    </w:p>
    <w:p w14:paraId="4E6D8200" w14:textId="499C5D66" w:rsidR="00C732CA" w:rsidRPr="000A0F20" w:rsidRDefault="00C732CA" w:rsidP="00A9254D">
      <w:pPr>
        <w:spacing w:after="0" w:line="240" w:lineRule="auto"/>
        <w:jc w:val="both"/>
        <w:rPr>
          <w:rFonts w:ascii="Times New Roman" w:hAnsi="Times New Roman" w:cs="Times New Roman"/>
          <w:sz w:val="20"/>
          <w:szCs w:val="20"/>
        </w:rPr>
      </w:pPr>
    </w:p>
    <w:p w14:paraId="4DB8A0E2" w14:textId="77777777" w:rsidR="00D905A2" w:rsidRDefault="00D905A2" w:rsidP="00A9254D">
      <w:pPr>
        <w:pStyle w:val="IPE"/>
        <w:rPr>
          <w:b/>
          <w:bCs w:val="0"/>
        </w:rPr>
      </w:pPr>
    </w:p>
    <w:p w14:paraId="1DFEAF03" w14:textId="4F880C81" w:rsidR="00D905A2" w:rsidRDefault="00D905A2" w:rsidP="00A9254D">
      <w:pPr>
        <w:pStyle w:val="IPE"/>
        <w:rPr>
          <w:b/>
          <w:bCs w:val="0"/>
        </w:rPr>
      </w:pPr>
      <w:r>
        <w:rPr>
          <w:b/>
          <w:bCs w:val="0"/>
        </w:rPr>
        <w:t>10.</w:t>
      </w:r>
      <w:r w:rsidR="00576473" w:rsidRPr="00576473">
        <w:t xml:space="preserve"> </w:t>
      </w:r>
      <w:r w:rsidR="00576473" w:rsidRPr="00576473">
        <w:rPr>
          <w:b/>
          <w:bCs w:val="0"/>
        </w:rPr>
        <w:t xml:space="preserve">Durante la limpieza a vapor, el vapor debe aplicarse a una distancia menor de 5 cm para mayor eficacia. </w:t>
      </w:r>
    </w:p>
    <w:p w14:paraId="1290B61E" w14:textId="77777777" w:rsidR="00576473" w:rsidRDefault="00576473" w:rsidP="00A9254D">
      <w:pPr>
        <w:pStyle w:val="IPE"/>
        <w:rPr>
          <w:b/>
          <w:bCs w:val="0"/>
        </w:rPr>
      </w:pPr>
    </w:p>
    <w:p w14:paraId="34AEA2EC" w14:textId="0D28926D" w:rsidR="00576473" w:rsidRDefault="00576473" w:rsidP="00A9254D">
      <w:pPr>
        <w:pStyle w:val="IPE"/>
        <w:rPr>
          <w:b/>
          <w:bCs w:val="0"/>
        </w:rPr>
      </w:pPr>
      <w:r>
        <w:rPr>
          <w:b/>
          <w:bCs w:val="0"/>
        </w:rPr>
        <w:t xml:space="preserve">a. Verdadero. </w:t>
      </w:r>
    </w:p>
    <w:p w14:paraId="7C3FFE6E" w14:textId="1325F9C3" w:rsidR="00576473" w:rsidRDefault="00576473" w:rsidP="00A9254D">
      <w:pPr>
        <w:pStyle w:val="IPE"/>
        <w:rPr>
          <w:b/>
          <w:bCs w:val="0"/>
        </w:rPr>
      </w:pPr>
      <w:r>
        <w:rPr>
          <w:b/>
          <w:bCs w:val="0"/>
        </w:rPr>
        <w:t xml:space="preserve">b. Falso. </w:t>
      </w:r>
    </w:p>
    <w:p w14:paraId="097483F3" w14:textId="77777777" w:rsidR="00576473" w:rsidRDefault="00576473" w:rsidP="00A9254D">
      <w:pPr>
        <w:pStyle w:val="IPE"/>
        <w:rPr>
          <w:b/>
          <w:bCs w:val="0"/>
        </w:rPr>
      </w:pPr>
    </w:p>
    <w:p w14:paraId="736D2E33" w14:textId="1065C9B2" w:rsidR="00576473" w:rsidRPr="00576473" w:rsidRDefault="00576473" w:rsidP="00A9254D">
      <w:pPr>
        <w:pStyle w:val="IPE"/>
      </w:pPr>
      <w:r>
        <w:t xml:space="preserve">Solución: b. </w:t>
      </w:r>
      <w:r w:rsidR="00F01740">
        <w:t xml:space="preserve">Se debe aplicar vapor a una distancia de 10-15 cm. Si la distancia es menor, puede dañar </w:t>
      </w:r>
      <w:r w:rsidR="0092239E">
        <w:t xml:space="preserve">la superficie sobre la que lo estamos aplicando. </w:t>
      </w:r>
    </w:p>
    <w:sectPr w:rsidR="00576473" w:rsidRPr="005764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445"/>
    <w:rsid w:val="00071F60"/>
    <w:rsid w:val="00073C1E"/>
    <w:rsid w:val="00092988"/>
    <w:rsid w:val="000A0F20"/>
    <w:rsid w:val="000A4990"/>
    <w:rsid w:val="000A65E2"/>
    <w:rsid w:val="000B319A"/>
    <w:rsid w:val="000C3127"/>
    <w:rsid w:val="000D0445"/>
    <w:rsid w:val="000D0D15"/>
    <w:rsid w:val="000E4FA7"/>
    <w:rsid w:val="001071F1"/>
    <w:rsid w:val="001231F9"/>
    <w:rsid w:val="00124196"/>
    <w:rsid w:val="00131212"/>
    <w:rsid w:val="00143951"/>
    <w:rsid w:val="00153642"/>
    <w:rsid w:val="0017700A"/>
    <w:rsid w:val="001920DF"/>
    <w:rsid w:val="001C2034"/>
    <w:rsid w:val="0020707B"/>
    <w:rsid w:val="00215547"/>
    <w:rsid w:val="002924DF"/>
    <w:rsid w:val="00295210"/>
    <w:rsid w:val="002A4A11"/>
    <w:rsid w:val="00315BBE"/>
    <w:rsid w:val="0033715B"/>
    <w:rsid w:val="00361CF6"/>
    <w:rsid w:val="00386817"/>
    <w:rsid w:val="00395DB0"/>
    <w:rsid w:val="003A3719"/>
    <w:rsid w:val="003B2A20"/>
    <w:rsid w:val="00402696"/>
    <w:rsid w:val="00411C71"/>
    <w:rsid w:val="00412F73"/>
    <w:rsid w:val="00416F0D"/>
    <w:rsid w:val="004227D8"/>
    <w:rsid w:val="00441E64"/>
    <w:rsid w:val="004447D0"/>
    <w:rsid w:val="004457DC"/>
    <w:rsid w:val="00445EB2"/>
    <w:rsid w:val="004755C2"/>
    <w:rsid w:val="004A020B"/>
    <w:rsid w:val="004A3C65"/>
    <w:rsid w:val="004A482C"/>
    <w:rsid w:val="004C0066"/>
    <w:rsid w:val="004C2ADF"/>
    <w:rsid w:val="004D1DD0"/>
    <w:rsid w:val="00507173"/>
    <w:rsid w:val="00510B11"/>
    <w:rsid w:val="00530228"/>
    <w:rsid w:val="00530AE7"/>
    <w:rsid w:val="00537C0D"/>
    <w:rsid w:val="005511A4"/>
    <w:rsid w:val="005513F4"/>
    <w:rsid w:val="00576473"/>
    <w:rsid w:val="00577AEF"/>
    <w:rsid w:val="00591534"/>
    <w:rsid w:val="005A4FBB"/>
    <w:rsid w:val="005C74B8"/>
    <w:rsid w:val="005D7B45"/>
    <w:rsid w:val="00611CA0"/>
    <w:rsid w:val="00613C25"/>
    <w:rsid w:val="006173D3"/>
    <w:rsid w:val="006229C9"/>
    <w:rsid w:val="00625D3C"/>
    <w:rsid w:val="00653F8C"/>
    <w:rsid w:val="006D32D7"/>
    <w:rsid w:val="00714C25"/>
    <w:rsid w:val="00741417"/>
    <w:rsid w:val="007438D9"/>
    <w:rsid w:val="00762EBB"/>
    <w:rsid w:val="0077250A"/>
    <w:rsid w:val="007B2B9A"/>
    <w:rsid w:val="007B46D0"/>
    <w:rsid w:val="007D72D7"/>
    <w:rsid w:val="007E3B93"/>
    <w:rsid w:val="007F5CD6"/>
    <w:rsid w:val="00800358"/>
    <w:rsid w:val="008507C1"/>
    <w:rsid w:val="008746D0"/>
    <w:rsid w:val="008978AE"/>
    <w:rsid w:val="008D1598"/>
    <w:rsid w:val="00904B5E"/>
    <w:rsid w:val="0092239E"/>
    <w:rsid w:val="00922A05"/>
    <w:rsid w:val="0092654C"/>
    <w:rsid w:val="00942D04"/>
    <w:rsid w:val="00955110"/>
    <w:rsid w:val="0098103A"/>
    <w:rsid w:val="00981DA2"/>
    <w:rsid w:val="009A051F"/>
    <w:rsid w:val="009A2C35"/>
    <w:rsid w:val="009C615F"/>
    <w:rsid w:val="009D44AF"/>
    <w:rsid w:val="009D585C"/>
    <w:rsid w:val="009D5C4C"/>
    <w:rsid w:val="009E26FD"/>
    <w:rsid w:val="00A15554"/>
    <w:rsid w:val="00A15BB7"/>
    <w:rsid w:val="00A42789"/>
    <w:rsid w:val="00A503B1"/>
    <w:rsid w:val="00A63D2E"/>
    <w:rsid w:val="00A835FA"/>
    <w:rsid w:val="00A9254D"/>
    <w:rsid w:val="00A96B50"/>
    <w:rsid w:val="00AF0C3D"/>
    <w:rsid w:val="00B36AA6"/>
    <w:rsid w:val="00B75FA5"/>
    <w:rsid w:val="00BA716F"/>
    <w:rsid w:val="00BD0C9F"/>
    <w:rsid w:val="00C0391D"/>
    <w:rsid w:val="00C44714"/>
    <w:rsid w:val="00C561AA"/>
    <w:rsid w:val="00C732CA"/>
    <w:rsid w:val="00CF1CA7"/>
    <w:rsid w:val="00D26039"/>
    <w:rsid w:val="00D261E2"/>
    <w:rsid w:val="00D36781"/>
    <w:rsid w:val="00D72BF6"/>
    <w:rsid w:val="00D755B6"/>
    <w:rsid w:val="00D774DD"/>
    <w:rsid w:val="00D905A2"/>
    <w:rsid w:val="00DB04B3"/>
    <w:rsid w:val="00DD52E1"/>
    <w:rsid w:val="00DF3B85"/>
    <w:rsid w:val="00E0172D"/>
    <w:rsid w:val="00E07858"/>
    <w:rsid w:val="00E278AC"/>
    <w:rsid w:val="00E479AA"/>
    <w:rsid w:val="00E53A99"/>
    <w:rsid w:val="00E83917"/>
    <w:rsid w:val="00EB072D"/>
    <w:rsid w:val="00F01740"/>
    <w:rsid w:val="00F06DDB"/>
    <w:rsid w:val="00F36049"/>
    <w:rsid w:val="00F5799E"/>
    <w:rsid w:val="00FC2919"/>
    <w:rsid w:val="00FD3CCF"/>
    <w:rsid w:val="00FE3615"/>
    <w:rsid w:val="00FE39A9"/>
    <w:rsid w:val="32443752"/>
    <w:rsid w:val="3DFA76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E813A"/>
  <w15:chartTrackingRefBased/>
  <w15:docId w15:val="{15841DA2-98F9-428B-BFB3-EF09F1E7A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PE">
    <w:name w:val="IPE"/>
    <w:basedOn w:val="Normal"/>
    <w:link w:val="IPECar"/>
    <w:qFormat/>
    <w:rsid w:val="000A4990"/>
    <w:pPr>
      <w:tabs>
        <w:tab w:val="left" w:pos="170"/>
      </w:tabs>
      <w:spacing w:after="0" w:line="240" w:lineRule="auto"/>
      <w:jc w:val="both"/>
    </w:pPr>
    <w:rPr>
      <w:rFonts w:ascii="Times New Roman" w:hAnsi="Times New Roman" w:cs="Times New Roman"/>
      <w:bCs/>
      <w:kern w:val="0"/>
      <w:sz w:val="20"/>
      <w:szCs w:val="20"/>
      <w14:ligatures w14:val="none"/>
    </w:rPr>
  </w:style>
  <w:style w:type="character" w:customStyle="1" w:styleId="IPECar">
    <w:name w:val="IPE Car"/>
    <w:basedOn w:val="Fuentedeprrafopredeter"/>
    <w:link w:val="IPE"/>
    <w:rsid w:val="000A4990"/>
    <w:rPr>
      <w:rFonts w:ascii="Times New Roman" w:hAnsi="Times New Roman" w:cs="Times New Roman"/>
      <w:bCs/>
      <w:kern w:val="0"/>
      <w:sz w:val="20"/>
      <w:szCs w:val="20"/>
      <w14:ligatures w14:val="none"/>
    </w:rPr>
  </w:style>
  <w:style w:type="character" w:styleId="Refdecomentario">
    <w:name w:val="annotation reference"/>
    <w:basedOn w:val="Fuentedeprrafopredeter"/>
    <w:uiPriority w:val="99"/>
    <w:semiHidden/>
    <w:unhideWhenUsed/>
    <w:rsid w:val="005D7B45"/>
    <w:rPr>
      <w:sz w:val="16"/>
      <w:szCs w:val="16"/>
    </w:rPr>
  </w:style>
  <w:style w:type="paragraph" w:styleId="Textocomentario">
    <w:name w:val="annotation text"/>
    <w:basedOn w:val="Normal"/>
    <w:link w:val="TextocomentarioCar"/>
    <w:uiPriority w:val="99"/>
    <w:unhideWhenUsed/>
    <w:rsid w:val="005D7B45"/>
    <w:pPr>
      <w:spacing w:line="240" w:lineRule="auto"/>
    </w:pPr>
    <w:rPr>
      <w:sz w:val="20"/>
      <w:szCs w:val="20"/>
    </w:rPr>
  </w:style>
  <w:style w:type="character" w:customStyle="1" w:styleId="TextocomentarioCar">
    <w:name w:val="Texto comentario Car"/>
    <w:basedOn w:val="Fuentedeprrafopredeter"/>
    <w:link w:val="Textocomentario"/>
    <w:uiPriority w:val="99"/>
    <w:rsid w:val="005D7B45"/>
    <w:rPr>
      <w:sz w:val="20"/>
      <w:szCs w:val="20"/>
    </w:rPr>
  </w:style>
  <w:style w:type="paragraph" w:styleId="Asuntodelcomentario">
    <w:name w:val="annotation subject"/>
    <w:basedOn w:val="Textocomentario"/>
    <w:next w:val="Textocomentario"/>
    <w:link w:val="AsuntodelcomentarioCar"/>
    <w:uiPriority w:val="99"/>
    <w:semiHidden/>
    <w:unhideWhenUsed/>
    <w:rsid w:val="005D7B45"/>
    <w:rPr>
      <w:b/>
      <w:bCs/>
    </w:rPr>
  </w:style>
  <w:style w:type="character" w:customStyle="1" w:styleId="AsuntodelcomentarioCar">
    <w:name w:val="Asunto del comentario Car"/>
    <w:basedOn w:val="TextocomentarioCar"/>
    <w:link w:val="Asuntodelcomentario"/>
    <w:uiPriority w:val="99"/>
    <w:semiHidden/>
    <w:rsid w:val="005D7B45"/>
    <w:rPr>
      <w:b/>
      <w:bCs/>
      <w:sz w:val="20"/>
      <w:szCs w:val="20"/>
    </w:rPr>
  </w:style>
  <w:style w:type="character" w:styleId="Hipervnculo">
    <w:name w:val="Hyperlink"/>
    <w:basedOn w:val="Fuentedeprrafopredeter"/>
    <w:uiPriority w:val="99"/>
    <w:unhideWhenUsed/>
    <w:rsid w:val="0033715B"/>
    <w:rPr>
      <w:color w:val="0563C1" w:themeColor="hyperlink"/>
      <w:u w:val="single"/>
    </w:rPr>
  </w:style>
  <w:style w:type="character" w:styleId="Mencinsinresolver">
    <w:name w:val="Unresolved Mention"/>
    <w:basedOn w:val="Fuentedeprrafopredeter"/>
    <w:uiPriority w:val="99"/>
    <w:semiHidden/>
    <w:unhideWhenUsed/>
    <w:rsid w:val="0033715B"/>
    <w:rPr>
      <w:color w:val="605E5C"/>
      <w:shd w:val="clear" w:color="auto" w:fill="E1DFDD"/>
    </w:rPr>
  </w:style>
  <w:style w:type="table" w:styleId="Tablaconcuadrcula">
    <w:name w:val="Table Grid"/>
    <w:basedOn w:val="Tablanormal"/>
    <w:uiPriority w:val="39"/>
    <w:rsid w:val="00386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deasPropias">
    <w:name w:val="IdeasPropias"/>
    <w:basedOn w:val="Normal"/>
    <w:link w:val="IdeasPropiasCar"/>
    <w:qFormat/>
    <w:rsid w:val="00153642"/>
    <w:pPr>
      <w:spacing w:after="0" w:line="240" w:lineRule="auto"/>
      <w:jc w:val="both"/>
    </w:pPr>
    <w:rPr>
      <w:rFonts w:ascii="Times New Roman" w:hAnsi="Times New Roman" w:cs="Times New Roman"/>
      <w:kern w:val="0"/>
      <w:sz w:val="20"/>
      <w:szCs w:val="20"/>
      <w:lang w:val="es-ES_tradnl"/>
    </w:rPr>
  </w:style>
  <w:style w:type="character" w:customStyle="1" w:styleId="IdeasPropiasCar">
    <w:name w:val="IdeasPropias Car"/>
    <w:basedOn w:val="Fuentedeprrafopredeter"/>
    <w:link w:val="IdeasPropias"/>
    <w:rsid w:val="00153642"/>
    <w:rPr>
      <w:rFonts w:ascii="Times New Roman" w:hAnsi="Times New Roman" w:cs="Times New Roman"/>
      <w:kern w:val="0"/>
      <w:sz w:val="20"/>
      <w:szCs w:val="20"/>
      <w:lang w:val="es-ES_tradnl"/>
    </w:rPr>
  </w:style>
  <w:style w:type="paragraph" w:styleId="NormalWeb">
    <w:name w:val="Normal (Web)"/>
    <w:basedOn w:val="Normal"/>
    <w:uiPriority w:val="99"/>
    <w:semiHidden/>
    <w:unhideWhenUsed/>
    <w:rsid w:val="00A15BB7"/>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styleId="Textoennegrita">
    <w:name w:val="Strong"/>
    <w:basedOn w:val="Fuentedeprrafopredeter"/>
    <w:uiPriority w:val="22"/>
    <w:qFormat/>
    <w:rsid w:val="00A15B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625753">
      <w:bodyDiv w:val="1"/>
      <w:marLeft w:val="0"/>
      <w:marRight w:val="0"/>
      <w:marTop w:val="0"/>
      <w:marBottom w:val="0"/>
      <w:divBdr>
        <w:top w:val="none" w:sz="0" w:space="0" w:color="auto"/>
        <w:left w:val="none" w:sz="0" w:space="0" w:color="auto"/>
        <w:bottom w:val="none" w:sz="0" w:space="0" w:color="auto"/>
        <w:right w:val="none" w:sz="0" w:space="0" w:color="auto"/>
      </w:divBdr>
    </w:div>
    <w:div w:id="174260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LANTILLA UD" ma:contentTypeID="0x010100487EDA216DD77848B027E9A8932A4ECC00EEF6BBEB15BA834A8A8CC5A0405EB03B" ma:contentTypeVersion="11" ma:contentTypeDescription="" ma:contentTypeScope="" ma:versionID="e4e881e4feddc3c14ba3af02cb1ca25a">
  <xsd:schema xmlns:xsd="http://www.w3.org/2001/XMLSchema" xmlns:xs="http://www.w3.org/2001/XMLSchema" xmlns:p="http://schemas.microsoft.com/office/2006/metadata/properties" xmlns:ns2="c335360d-6303-4dba-9c39-eeb7898daa0a" xmlns:ns3="ddb18c2c-aad4-4e8f-93b9-bafe8db2f853" targetNamespace="http://schemas.microsoft.com/office/2006/metadata/properties" ma:root="true" ma:fieldsID="035b89f9a58a9e05c75483294636774b" ns2:_="" ns3:_="">
    <xsd:import namespace="c335360d-6303-4dba-9c39-eeb7898daa0a"/>
    <xsd:import namespace="ddb18c2c-aad4-4e8f-93b9-bafe8db2f8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5360d-6303-4dba-9c39-eeb7898da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840470f2-9090-4799-bcaa-c44886d653a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18c2c-aad4-4e8f-93b9-bafe8db2f8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51f24b-a014-4c12-812e-8165a4d5bcb0}" ma:internalName="TaxCatchAll" ma:showField="CatchAllData" ma:web="ddb18c2c-aad4-4e8f-93b9-bafe8db2f8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35360d-6303-4dba-9c39-eeb7898daa0a">
      <Terms xmlns="http://schemas.microsoft.com/office/infopath/2007/PartnerControls"/>
    </lcf76f155ced4ddcb4097134ff3c332f>
    <TaxCatchAll xmlns="ddb18c2c-aad4-4e8f-93b9-bafe8db2f853" xsi:nil="true"/>
  </documentManagement>
</p:properties>
</file>

<file path=customXml/itemProps1.xml><?xml version="1.0" encoding="utf-8"?>
<ds:datastoreItem xmlns:ds="http://schemas.openxmlformats.org/officeDocument/2006/customXml" ds:itemID="{466389E5-4B0A-4318-938E-CDBBCEC69777}">
  <ds:schemaRefs>
    <ds:schemaRef ds:uri="http://schemas.microsoft.com/sharepoint/v3/contenttype/forms"/>
  </ds:schemaRefs>
</ds:datastoreItem>
</file>

<file path=customXml/itemProps2.xml><?xml version="1.0" encoding="utf-8"?>
<ds:datastoreItem xmlns:ds="http://schemas.openxmlformats.org/officeDocument/2006/customXml" ds:itemID="{D86E5970-4C1F-462A-ABCD-22AB8C2CB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5360d-6303-4dba-9c39-eeb7898daa0a"/>
    <ds:schemaRef ds:uri="ddb18c2c-aad4-4e8f-93b9-bafe8db2f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D976CC-5102-4449-85FF-4E3F1A745AA9}">
  <ds:schemaRefs>
    <ds:schemaRef ds:uri="http://www.w3.org/XML/1998/namespace"/>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purl.org/dc/terms/"/>
    <ds:schemaRef ds:uri="ddb18c2c-aad4-4e8f-93b9-bafe8db2f853"/>
    <ds:schemaRef ds:uri="c335360d-6303-4dba-9c39-eeb7898daa0a"/>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5064</Characters>
  <Application>Microsoft Office Word</Application>
  <DocSecurity>0</DocSecurity>
  <Lines>42</Lines>
  <Paragraphs>11</Paragraphs>
  <ScaleCrop>false</ScaleCrop>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Núria Soriano Gil</dc:creator>
  <cp:keywords/>
  <dc:description/>
  <cp:lastModifiedBy>María Costa Vázquez</cp:lastModifiedBy>
  <cp:revision>126</cp:revision>
  <dcterms:created xsi:type="dcterms:W3CDTF">2024-12-10T11:46:00Z</dcterms:created>
  <dcterms:modified xsi:type="dcterms:W3CDTF">2025-02-07T12:29:00Z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0x010100487EDA216DD77848B027E9A8932A4ECC00EEF6BBEB15BA834A8A8CC5A0405EB03B</vt:lpwstr>
  </property>
  <property fmtid="{D5CDD505-2E9C-101B-9397-08002B2CF9AE}" pid="3" name="MediaServiceImageTags">
    <vt:lpwstr/>
  </property>
</Properties>
</file>