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08E" w:rsidRPr="009F027F" w:rsidRDefault="00A1008E" w:rsidP="00A1008E">
      <w:pPr>
        <w:pStyle w:val="Prrafodelista"/>
        <w:ind w:left="0" w:firstLine="0"/>
        <w:rPr>
          <w:rFonts w:ascii="Times New Roman" w:eastAsia="Times New Roman" w:hAnsi="Times New Roman" w:cs="Times New Roman"/>
          <w:color w:val="000000" w:themeColor="text1"/>
          <w:sz w:val="20"/>
          <w:szCs w:val="20"/>
          <w:lang w:eastAsia="es-ES"/>
        </w:rPr>
      </w:pPr>
      <w:r w:rsidRPr="009F027F">
        <w:rPr>
          <w:rFonts w:ascii="Times New Roman" w:eastAsia="Times New Roman" w:hAnsi="Times New Roman" w:cs="Times New Roman"/>
          <w:color w:val="000000" w:themeColor="text1"/>
          <w:sz w:val="20"/>
          <w:szCs w:val="20"/>
          <w:lang w:eastAsia="es-ES"/>
        </w:rPr>
        <w:t>Título:</w:t>
      </w:r>
      <w:r w:rsidR="00D7034C" w:rsidRPr="00D7034C">
        <w:t xml:space="preserve"> </w:t>
      </w:r>
      <w:r w:rsidR="00D7034C" w:rsidRPr="00D7034C">
        <w:rPr>
          <w:rFonts w:ascii="Times New Roman" w:eastAsia="Times New Roman" w:hAnsi="Times New Roman" w:cs="Times New Roman"/>
          <w:color w:val="000000" w:themeColor="text1"/>
          <w:sz w:val="20"/>
          <w:szCs w:val="20"/>
          <w:lang w:eastAsia="es-ES"/>
        </w:rPr>
        <w:t>Servicios especiales en restauración</w:t>
      </w:r>
      <w:r w:rsidR="00D7034C">
        <w:rPr>
          <w:rFonts w:ascii="Times New Roman" w:eastAsia="Times New Roman" w:hAnsi="Times New Roman" w:cs="Times New Roman"/>
          <w:color w:val="000000" w:themeColor="text1"/>
          <w:sz w:val="20"/>
          <w:szCs w:val="20"/>
          <w:lang w:eastAsia="es-ES"/>
        </w:rPr>
        <w:t>.</w:t>
      </w:r>
    </w:p>
    <w:p w:rsidR="00D7034C" w:rsidRDefault="00A1008E" w:rsidP="00D7034C">
      <w:pPr>
        <w:pStyle w:val="Prrafodelista"/>
        <w:ind w:left="0" w:firstLine="0"/>
        <w:rPr>
          <w:rFonts w:ascii="Times New Roman" w:eastAsia="Times New Roman" w:hAnsi="Times New Roman" w:cs="Times New Roman"/>
          <w:color w:val="000000" w:themeColor="text1"/>
          <w:sz w:val="20"/>
          <w:szCs w:val="20"/>
          <w:lang w:eastAsia="es-ES"/>
        </w:rPr>
      </w:pPr>
      <w:r w:rsidRPr="009F027F">
        <w:rPr>
          <w:rFonts w:ascii="Times New Roman" w:eastAsia="Times New Roman" w:hAnsi="Times New Roman" w:cs="Times New Roman"/>
          <w:color w:val="000000" w:themeColor="text1"/>
          <w:sz w:val="20"/>
          <w:szCs w:val="20"/>
          <w:lang w:eastAsia="es-ES"/>
        </w:rPr>
        <w:t xml:space="preserve">Subtítulo: </w:t>
      </w:r>
      <w:r w:rsidR="00D7034C" w:rsidRPr="00D7034C">
        <w:rPr>
          <w:rFonts w:ascii="Times New Roman" w:eastAsia="Times New Roman" w:hAnsi="Times New Roman" w:cs="Times New Roman"/>
          <w:color w:val="000000" w:themeColor="text1"/>
          <w:sz w:val="20"/>
          <w:szCs w:val="20"/>
          <w:lang w:eastAsia="es-ES"/>
        </w:rPr>
        <w:t>Decoración, ambientación de locales y montaje de expositores</w:t>
      </w:r>
      <w:r w:rsidR="00D7034C">
        <w:rPr>
          <w:rFonts w:ascii="Times New Roman" w:eastAsia="Times New Roman" w:hAnsi="Times New Roman" w:cs="Times New Roman"/>
          <w:color w:val="000000" w:themeColor="text1"/>
          <w:sz w:val="20"/>
          <w:szCs w:val="20"/>
          <w:lang w:eastAsia="es-ES"/>
        </w:rPr>
        <w:t>.</w:t>
      </w:r>
    </w:p>
    <w:p w:rsidR="00A1008E" w:rsidRPr="009F027F" w:rsidRDefault="00A1008E" w:rsidP="00A1008E">
      <w:pPr>
        <w:pStyle w:val="Prrafodelista"/>
        <w:ind w:left="0" w:firstLine="0"/>
        <w:rPr>
          <w:rFonts w:ascii="Times New Roman" w:eastAsia="Times New Roman" w:hAnsi="Times New Roman" w:cs="Times New Roman"/>
          <w:color w:val="000000" w:themeColor="text1"/>
          <w:sz w:val="20"/>
          <w:szCs w:val="20"/>
          <w:lang w:eastAsia="es-ES"/>
        </w:rPr>
      </w:pPr>
      <w:r w:rsidRPr="009F027F">
        <w:rPr>
          <w:rFonts w:ascii="Times New Roman" w:eastAsia="Times New Roman" w:hAnsi="Times New Roman" w:cs="Times New Roman"/>
          <w:color w:val="000000" w:themeColor="text1"/>
          <w:sz w:val="20"/>
          <w:szCs w:val="20"/>
          <w:lang w:eastAsia="es-ES"/>
        </w:rPr>
        <w:t xml:space="preserve">ISBN: </w:t>
      </w:r>
      <w:r w:rsidR="00D7034C" w:rsidRPr="00D7034C">
        <w:rPr>
          <w:rFonts w:ascii="Times New Roman" w:eastAsia="Times New Roman" w:hAnsi="Times New Roman" w:cs="Times New Roman"/>
          <w:color w:val="000000" w:themeColor="text1"/>
          <w:sz w:val="20"/>
          <w:szCs w:val="20"/>
          <w:lang w:eastAsia="es-ES"/>
        </w:rPr>
        <w:t>978-84-9839-494-8</w:t>
      </w:r>
      <w:r w:rsidR="00D7034C">
        <w:rPr>
          <w:rFonts w:ascii="Times New Roman" w:eastAsia="Times New Roman" w:hAnsi="Times New Roman" w:cs="Times New Roman"/>
          <w:color w:val="000000" w:themeColor="text1"/>
          <w:sz w:val="20"/>
          <w:szCs w:val="20"/>
          <w:lang w:eastAsia="es-ES"/>
        </w:rPr>
        <w:t>.</w:t>
      </w:r>
    </w:p>
    <w:p w:rsidR="00A1008E" w:rsidRPr="009F027F" w:rsidRDefault="001F1F0F" w:rsidP="00A1008E">
      <w:pPr>
        <w:pStyle w:val="Prrafodelista"/>
        <w:ind w:left="0" w:firstLine="0"/>
        <w:contextualSpacing w:val="0"/>
        <w:rPr>
          <w:rFonts w:ascii="Times New Roman" w:eastAsia="Times New Roman" w:hAnsi="Times New Roman" w:cs="Times New Roman"/>
          <w:color w:val="000000" w:themeColor="text1"/>
          <w:sz w:val="20"/>
          <w:szCs w:val="20"/>
          <w:lang w:eastAsia="es-ES"/>
        </w:rPr>
      </w:pPr>
      <w:r>
        <w:rPr>
          <w:rFonts w:ascii="Times New Roman" w:eastAsia="Times New Roman" w:hAnsi="Times New Roman" w:cs="Times New Roman"/>
          <w:color w:val="000000" w:themeColor="text1"/>
          <w:sz w:val="20"/>
          <w:szCs w:val="20"/>
          <w:lang w:eastAsia="es-ES"/>
        </w:rPr>
        <w:t>Autor</w:t>
      </w:r>
      <w:r w:rsidR="00A1008E" w:rsidRPr="009F027F">
        <w:rPr>
          <w:rFonts w:ascii="Times New Roman" w:eastAsia="Times New Roman" w:hAnsi="Times New Roman" w:cs="Times New Roman"/>
          <w:color w:val="000000" w:themeColor="text1"/>
          <w:sz w:val="20"/>
          <w:szCs w:val="20"/>
          <w:lang w:eastAsia="es-ES"/>
        </w:rPr>
        <w:t xml:space="preserve">: </w:t>
      </w:r>
      <w:r w:rsidR="00D7034C" w:rsidRPr="00D7034C">
        <w:rPr>
          <w:rFonts w:ascii="Times New Roman" w:eastAsia="Times New Roman" w:hAnsi="Times New Roman" w:cs="Times New Roman"/>
          <w:sz w:val="20"/>
          <w:szCs w:val="20"/>
          <w:lang w:eastAsia="es-ES"/>
        </w:rPr>
        <w:t>Ramón Esteban Díaz Arocha</w:t>
      </w:r>
      <w:r w:rsidR="00152226" w:rsidRPr="00417A6E">
        <w:rPr>
          <w:rFonts w:ascii="Times New Roman" w:eastAsia="Times New Roman" w:hAnsi="Times New Roman" w:cs="Times New Roman"/>
          <w:sz w:val="20"/>
          <w:szCs w:val="20"/>
          <w:lang w:eastAsia="es-ES"/>
        </w:rPr>
        <w:t>.</w:t>
      </w:r>
    </w:p>
    <w:p w:rsidR="00A1008E" w:rsidRDefault="00A1008E" w:rsidP="00321772">
      <w:pPr>
        <w:rPr>
          <w:sz w:val="20"/>
        </w:rPr>
      </w:pPr>
    </w:p>
    <w:p w:rsidR="00952569" w:rsidRPr="00952569" w:rsidRDefault="00321772" w:rsidP="00952569">
      <w:pPr>
        <w:rPr>
          <w:b/>
          <w:sz w:val="20"/>
          <w:szCs w:val="20"/>
        </w:rPr>
      </w:pPr>
      <w:r w:rsidRPr="00DD3CB7">
        <w:rPr>
          <w:b/>
          <w:sz w:val="20"/>
        </w:rPr>
        <w:t>1.</w:t>
      </w:r>
      <w:r w:rsidR="00DD3CB7" w:rsidRPr="00DD3CB7">
        <w:rPr>
          <w:b/>
          <w:sz w:val="20"/>
          <w:szCs w:val="20"/>
        </w:rPr>
        <w:t xml:space="preserve"> </w:t>
      </w:r>
      <w:r w:rsidR="00952569" w:rsidRPr="00952569">
        <w:rPr>
          <w:b/>
          <w:sz w:val="20"/>
          <w:szCs w:val="20"/>
        </w:rPr>
        <w:t>¿Qué características tiene el mueble bufé?</w:t>
      </w:r>
    </w:p>
    <w:p w:rsidR="00321772" w:rsidRDefault="00321772" w:rsidP="0024067C">
      <w:pPr>
        <w:jc w:val="both"/>
        <w:rPr>
          <w:sz w:val="20"/>
        </w:rPr>
      </w:pPr>
    </w:p>
    <w:p w:rsidR="00952569" w:rsidRPr="00952569" w:rsidRDefault="00952569" w:rsidP="0024067C">
      <w:pPr>
        <w:jc w:val="both"/>
        <w:rPr>
          <w:sz w:val="20"/>
        </w:rPr>
      </w:pPr>
      <w:r>
        <w:rPr>
          <w:sz w:val="20"/>
        </w:rPr>
        <w:t>El mueble bufé</w:t>
      </w:r>
      <w:r w:rsidRPr="00952569">
        <w:rPr>
          <w:sz w:val="20"/>
        </w:rPr>
        <w:t xml:space="preserve"> </w:t>
      </w:r>
      <w:r>
        <w:rPr>
          <w:sz w:val="20"/>
        </w:rPr>
        <w:t>tiene</w:t>
      </w:r>
      <w:r w:rsidRPr="00952569">
        <w:rPr>
          <w:sz w:val="20"/>
        </w:rPr>
        <w:t xml:space="preserve"> los termómetros a la vista para comprobar la temperatura. </w:t>
      </w:r>
      <w:r>
        <w:rPr>
          <w:sz w:val="20"/>
        </w:rPr>
        <w:t>Cuenta</w:t>
      </w:r>
      <w:r w:rsidRPr="00952569">
        <w:rPr>
          <w:sz w:val="20"/>
        </w:rPr>
        <w:t xml:space="preserve">, además, con iluminación adaptada con luminarias halógenas en las zonas calientes y luz fluorescente en el caso de las frías. </w:t>
      </w:r>
      <w:r w:rsidR="0024067C">
        <w:rPr>
          <w:sz w:val="20"/>
        </w:rPr>
        <w:t>Son</w:t>
      </w:r>
      <w:r w:rsidRPr="00952569">
        <w:rPr>
          <w:sz w:val="20"/>
        </w:rPr>
        <w:t xml:space="preserve"> resistentes al desgaste y al uso, para garantizar la durabilidad de las superficies, de la maquinaria y de los mecanismos. Otro aspecto importante es que </w:t>
      </w:r>
      <w:r w:rsidR="0024067C">
        <w:rPr>
          <w:sz w:val="20"/>
        </w:rPr>
        <w:t>sean muebles adaptados</w:t>
      </w:r>
      <w:r w:rsidRPr="00952569">
        <w:rPr>
          <w:sz w:val="20"/>
        </w:rPr>
        <w:t xml:space="preserve"> a personas discapacitadas.</w:t>
      </w:r>
    </w:p>
    <w:p w:rsidR="00952569" w:rsidRPr="00952569" w:rsidRDefault="00952569" w:rsidP="0024067C">
      <w:pPr>
        <w:jc w:val="both"/>
        <w:rPr>
          <w:sz w:val="20"/>
        </w:rPr>
      </w:pPr>
    </w:p>
    <w:p w:rsidR="00321772" w:rsidRDefault="00952569" w:rsidP="00703CE8">
      <w:pPr>
        <w:jc w:val="both"/>
        <w:rPr>
          <w:sz w:val="20"/>
        </w:rPr>
      </w:pPr>
      <w:r w:rsidRPr="00952569">
        <w:rPr>
          <w:sz w:val="20"/>
        </w:rPr>
        <w:t>También es deseable que se puedan desplazar, para lo que suelen contar con un sistema de ruedas que no es visible. La movilidad de los equipos bufés, autoservicios y show-</w:t>
      </w:r>
      <w:proofErr w:type="spellStart"/>
      <w:r w:rsidRPr="00952569">
        <w:rPr>
          <w:sz w:val="20"/>
        </w:rPr>
        <w:t>cooking</w:t>
      </w:r>
      <w:proofErr w:type="spellEnd"/>
      <w:r w:rsidRPr="00952569">
        <w:rPr>
          <w:sz w:val="20"/>
        </w:rPr>
        <w:t xml:space="preserve"> facilita tareas que se h</w:t>
      </w:r>
      <w:r w:rsidR="00703CE8">
        <w:rPr>
          <w:sz w:val="20"/>
        </w:rPr>
        <w:t>an de llevar a cabo diariamente.</w:t>
      </w:r>
    </w:p>
    <w:p w:rsidR="00703CE8" w:rsidRDefault="00703CE8" w:rsidP="00703CE8">
      <w:pPr>
        <w:jc w:val="both"/>
        <w:rPr>
          <w:sz w:val="20"/>
        </w:rPr>
      </w:pPr>
    </w:p>
    <w:p w:rsidR="00DD3CB7" w:rsidRPr="00DD3CB7" w:rsidRDefault="00321772" w:rsidP="00DD3CB7">
      <w:pPr>
        <w:rPr>
          <w:b/>
          <w:sz w:val="20"/>
        </w:rPr>
      </w:pPr>
      <w:r w:rsidRPr="00DD3CB7">
        <w:rPr>
          <w:b/>
          <w:sz w:val="20"/>
        </w:rPr>
        <w:t>2.</w:t>
      </w:r>
      <w:r w:rsidR="00DD3CB7" w:rsidRPr="00DD3CB7">
        <w:rPr>
          <w:b/>
          <w:sz w:val="20"/>
          <w:szCs w:val="20"/>
        </w:rPr>
        <w:t xml:space="preserve"> </w:t>
      </w:r>
      <w:r w:rsidR="00DD3CB7" w:rsidRPr="00DD3CB7">
        <w:rPr>
          <w:b/>
          <w:sz w:val="20"/>
        </w:rPr>
        <w:t>Indique si las siguientes afirmaciones son verdaderas o falsas:</w:t>
      </w:r>
    </w:p>
    <w:p w:rsidR="009F5A1D" w:rsidRPr="009F5A1D" w:rsidRDefault="009F5A1D" w:rsidP="009F5A1D">
      <w:pPr>
        <w:jc w:val="both"/>
        <w:rPr>
          <w:rFonts w:eastAsia="Calibri"/>
          <w:sz w:val="20"/>
          <w:szCs w:val="22"/>
          <w:lang w:val="es-ES" w:eastAsia="en-US"/>
        </w:rPr>
      </w:pPr>
    </w:p>
    <w:tbl>
      <w:tblPr>
        <w:tblStyle w:val="Tablaconcuadrcula1"/>
        <w:tblW w:w="0" w:type="auto"/>
        <w:jc w:val="center"/>
        <w:tblLook w:val="04A0" w:firstRow="1" w:lastRow="0" w:firstColumn="1" w:lastColumn="0" w:noHBand="0" w:noVBand="1"/>
      </w:tblPr>
      <w:tblGrid>
        <w:gridCol w:w="6237"/>
        <w:gridCol w:w="361"/>
        <w:gridCol w:w="361"/>
      </w:tblGrid>
      <w:tr w:rsidR="009F5A1D" w:rsidRPr="009F5A1D" w:rsidTr="009F5A1D">
        <w:trPr>
          <w:jc w:val="center"/>
        </w:trPr>
        <w:tc>
          <w:tcPr>
            <w:tcW w:w="6237" w:type="dxa"/>
            <w:tcBorders>
              <w:top w:val="nil"/>
              <w:left w:val="nil"/>
            </w:tcBorders>
          </w:tcPr>
          <w:p w:rsidR="009F5A1D" w:rsidRPr="009F5A1D" w:rsidRDefault="009F5A1D" w:rsidP="009F5A1D">
            <w:pPr>
              <w:jc w:val="both"/>
              <w:rPr>
                <w:rFonts w:eastAsia="Calibri"/>
                <w:sz w:val="20"/>
                <w:szCs w:val="22"/>
                <w:lang w:val="es-ES" w:eastAsia="en-US"/>
              </w:rPr>
            </w:pPr>
          </w:p>
        </w:tc>
        <w:tc>
          <w:tcPr>
            <w:tcW w:w="361" w:type="dxa"/>
            <w:shd w:val="clear" w:color="auto" w:fill="D9D9D9"/>
          </w:tcPr>
          <w:p w:rsidR="009F5A1D" w:rsidRPr="009F5A1D" w:rsidRDefault="009F5A1D" w:rsidP="009F5A1D">
            <w:pPr>
              <w:jc w:val="center"/>
              <w:rPr>
                <w:rFonts w:eastAsia="Calibri"/>
                <w:b/>
                <w:sz w:val="20"/>
                <w:szCs w:val="22"/>
                <w:lang w:val="es-ES" w:eastAsia="en-US"/>
              </w:rPr>
            </w:pPr>
            <w:r w:rsidRPr="009F5A1D">
              <w:rPr>
                <w:rFonts w:eastAsia="Calibri"/>
                <w:b/>
                <w:sz w:val="20"/>
                <w:szCs w:val="22"/>
                <w:lang w:val="es-ES" w:eastAsia="en-US"/>
              </w:rPr>
              <w:t>V</w:t>
            </w:r>
          </w:p>
        </w:tc>
        <w:tc>
          <w:tcPr>
            <w:tcW w:w="361" w:type="dxa"/>
            <w:shd w:val="clear" w:color="auto" w:fill="D9D9D9"/>
          </w:tcPr>
          <w:p w:rsidR="009F5A1D" w:rsidRPr="009F5A1D" w:rsidRDefault="009F5A1D" w:rsidP="009F5A1D">
            <w:pPr>
              <w:jc w:val="center"/>
              <w:rPr>
                <w:rFonts w:eastAsia="Calibri"/>
                <w:b/>
                <w:sz w:val="20"/>
                <w:szCs w:val="22"/>
                <w:lang w:val="es-ES" w:eastAsia="en-US"/>
              </w:rPr>
            </w:pPr>
            <w:r w:rsidRPr="009F5A1D">
              <w:rPr>
                <w:rFonts w:eastAsia="Calibri"/>
                <w:b/>
                <w:sz w:val="20"/>
                <w:szCs w:val="22"/>
                <w:lang w:val="es-ES" w:eastAsia="en-US"/>
              </w:rPr>
              <w:t>F</w:t>
            </w:r>
          </w:p>
        </w:tc>
      </w:tr>
      <w:tr w:rsidR="009F5A1D" w:rsidRPr="009F5A1D" w:rsidTr="00966630">
        <w:trPr>
          <w:jc w:val="center"/>
        </w:trPr>
        <w:tc>
          <w:tcPr>
            <w:tcW w:w="6237" w:type="dxa"/>
          </w:tcPr>
          <w:p w:rsidR="009F5A1D" w:rsidRPr="009F5A1D" w:rsidRDefault="009F5A1D" w:rsidP="009F5A1D">
            <w:pPr>
              <w:jc w:val="both"/>
              <w:rPr>
                <w:rFonts w:eastAsia="Calibri"/>
                <w:sz w:val="20"/>
                <w:szCs w:val="20"/>
                <w:lang w:val="es-ES" w:eastAsia="en-US"/>
              </w:rPr>
            </w:pPr>
            <w:r w:rsidRPr="009F5A1D">
              <w:rPr>
                <w:rFonts w:eastAsia="Calibri"/>
                <w:sz w:val="20"/>
                <w:szCs w:val="22"/>
                <w:lang w:val="es-ES" w:eastAsia="en-US"/>
              </w:rPr>
              <w:t>Las islas o bufés centrales entorpecen la circulación de los clientes por la sala, lo que disminuye la capacidad de servicio</w:t>
            </w:r>
          </w:p>
        </w:tc>
        <w:tc>
          <w:tcPr>
            <w:tcW w:w="361" w:type="dxa"/>
            <w:vAlign w:val="center"/>
          </w:tcPr>
          <w:p w:rsidR="009F5A1D" w:rsidRPr="009F5A1D" w:rsidRDefault="009F5A1D" w:rsidP="009F5A1D">
            <w:pPr>
              <w:jc w:val="center"/>
              <w:rPr>
                <w:rFonts w:eastAsia="Calibri"/>
                <w:sz w:val="20"/>
                <w:szCs w:val="22"/>
                <w:lang w:val="es-ES" w:eastAsia="en-US"/>
              </w:rPr>
            </w:pPr>
          </w:p>
        </w:tc>
        <w:tc>
          <w:tcPr>
            <w:tcW w:w="361" w:type="dxa"/>
            <w:vAlign w:val="center"/>
          </w:tcPr>
          <w:p w:rsidR="009F5A1D" w:rsidRPr="009F5A1D" w:rsidRDefault="009F5A1D" w:rsidP="009F5A1D">
            <w:pPr>
              <w:jc w:val="center"/>
              <w:rPr>
                <w:rFonts w:eastAsia="Calibri"/>
                <w:sz w:val="20"/>
                <w:szCs w:val="22"/>
                <w:lang w:val="es-ES" w:eastAsia="en-US"/>
              </w:rPr>
            </w:pPr>
            <w:r w:rsidRPr="009F5A1D">
              <w:rPr>
                <w:rFonts w:eastAsia="Calibri"/>
                <w:sz w:val="20"/>
                <w:szCs w:val="22"/>
                <w:lang w:val="es-ES" w:eastAsia="en-US"/>
              </w:rPr>
              <w:t>X</w:t>
            </w:r>
          </w:p>
        </w:tc>
      </w:tr>
      <w:tr w:rsidR="009F5A1D" w:rsidRPr="009F5A1D" w:rsidTr="00966630">
        <w:trPr>
          <w:jc w:val="center"/>
        </w:trPr>
        <w:tc>
          <w:tcPr>
            <w:tcW w:w="6237" w:type="dxa"/>
          </w:tcPr>
          <w:p w:rsidR="009F5A1D" w:rsidRPr="009F5A1D" w:rsidRDefault="009F5A1D" w:rsidP="009F5A1D">
            <w:pPr>
              <w:tabs>
                <w:tab w:val="left" w:pos="4208"/>
              </w:tabs>
              <w:jc w:val="both"/>
              <w:rPr>
                <w:rFonts w:eastAsia="Calibri"/>
                <w:sz w:val="20"/>
                <w:szCs w:val="22"/>
                <w:lang w:val="es-ES" w:eastAsia="en-US"/>
              </w:rPr>
            </w:pPr>
            <w:r w:rsidRPr="009F5A1D">
              <w:rPr>
                <w:rFonts w:eastAsia="Calibri"/>
                <w:sz w:val="20"/>
                <w:szCs w:val="22"/>
                <w:lang w:val="es-ES" w:eastAsia="en-US"/>
              </w:rPr>
              <w:t>Uno de los equipos de calor más habituales en los restaurantes es la mesa caliente, que mantiene los platos a la temperatura adecuada para ser servidos al cliente</w:t>
            </w:r>
          </w:p>
        </w:tc>
        <w:tc>
          <w:tcPr>
            <w:tcW w:w="361" w:type="dxa"/>
            <w:vAlign w:val="center"/>
          </w:tcPr>
          <w:p w:rsidR="009F5A1D" w:rsidRPr="009F5A1D" w:rsidRDefault="009F5A1D" w:rsidP="009F5A1D">
            <w:pPr>
              <w:jc w:val="center"/>
              <w:rPr>
                <w:rFonts w:eastAsia="Calibri"/>
                <w:sz w:val="20"/>
                <w:szCs w:val="22"/>
                <w:lang w:val="es-ES" w:eastAsia="en-US"/>
              </w:rPr>
            </w:pPr>
            <w:r w:rsidRPr="009F5A1D">
              <w:rPr>
                <w:rFonts w:eastAsia="Calibri"/>
                <w:sz w:val="20"/>
                <w:szCs w:val="22"/>
                <w:lang w:val="es-ES" w:eastAsia="en-US"/>
              </w:rPr>
              <w:t>X</w:t>
            </w:r>
          </w:p>
        </w:tc>
        <w:tc>
          <w:tcPr>
            <w:tcW w:w="361" w:type="dxa"/>
            <w:vAlign w:val="center"/>
          </w:tcPr>
          <w:p w:rsidR="009F5A1D" w:rsidRPr="009F5A1D" w:rsidRDefault="009F5A1D" w:rsidP="009F5A1D">
            <w:pPr>
              <w:jc w:val="center"/>
              <w:rPr>
                <w:rFonts w:eastAsia="Calibri"/>
                <w:sz w:val="20"/>
                <w:szCs w:val="22"/>
                <w:lang w:val="es-ES" w:eastAsia="en-US"/>
              </w:rPr>
            </w:pPr>
          </w:p>
        </w:tc>
      </w:tr>
      <w:tr w:rsidR="009F5A1D" w:rsidRPr="009F5A1D" w:rsidTr="00966630">
        <w:trPr>
          <w:jc w:val="center"/>
        </w:trPr>
        <w:tc>
          <w:tcPr>
            <w:tcW w:w="6237" w:type="dxa"/>
          </w:tcPr>
          <w:p w:rsidR="009F5A1D" w:rsidRPr="009F5A1D" w:rsidRDefault="009F5A1D" w:rsidP="009F5A1D">
            <w:pPr>
              <w:jc w:val="both"/>
              <w:rPr>
                <w:rFonts w:eastAsia="Calibri"/>
                <w:sz w:val="20"/>
                <w:szCs w:val="22"/>
                <w:lang w:val="es-ES" w:eastAsia="en-US"/>
              </w:rPr>
            </w:pPr>
            <w:r w:rsidRPr="009F5A1D">
              <w:rPr>
                <w:rFonts w:eastAsia="Calibri"/>
                <w:sz w:val="20"/>
                <w:szCs w:val="22"/>
                <w:lang w:val="es-ES" w:eastAsia="en-US"/>
              </w:rPr>
              <w:t>El catering es el servicio de bebidas y alimentos para un número de personas predeterminado, elaborados en el mismo lugar donde serán servidos</w:t>
            </w:r>
          </w:p>
        </w:tc>
        <w:tc>
          <w:tcPr>
            <w:tcW w:w="361" w:type="dxa"/>
            <w:vAlign w:val="center"/>
          </w:tcPr>
          <w:p w:rsidR="009F5A1D" w:rsidRPr="009F5A1D" w:rsidRDefault="009F5A1D" w:rsidP="009F5A1D">
            <w:pPr>
              <w:jc w:val="center"/>
              <w:rPr>
                <w:rFonts w:eastAsia="Calibri"/>
                <w:sz w:val="20"/>
                <w:szCs w:val="22"/>
                <w:lang w:val="es-ES" w:eastAsia="en-US"/>
              </w:rPr>
            </w:pPr>
          </w:p>
        </w:tc>
        <w:tc>
          <w:tcPr>
            <w:tcW w:w="361" w:type="dxa"/>
            <w:vAlign w:val="center"/>
          </w:tcPr>
          <w:p w:rsidR="009F5A1D" w:rsidRPr="009F5A1D" w:rsidRDefault="009F5A1D" w:rsidP="009F5A1D">
            <w:pPr>
              <w:jc w:val="center"/>
              <w:rPr>
                <w:rFonts w:eastAsia="Calibri"/>
                <w:sz w:val="20"/>
                <w:szCs w:val="22"/>
                <w:lang w:val="es-ES" w:eastAsia="en-US"/>
              </w:rPr>
            </w:pPr>
            <w:r w:rsidRPr="009F5A1D">
              <w:rPr>
                <w:rFonts w:eastAsia="Calibri"/>
                <w:sz w:val="20"/>
                <w:szCs w:val="22"/>
                <w:lang w:val="es-ES" w:eastAsia="en-US"/>
              </w:rPr>
              <w:t>X</w:t>
            </w:r>
          </w:p>
        </w:tc>
      </w:tr>
      <w:tr w:rsidR="009F5A1D" w:rsidRPr="009F5A1D" w:rsidTr="00966630">
        <w:trPr>
          <w:jc w:val="center"/>
        </w:trPr>
        <w:tc>
          <w:tcPr>
            <w:tcW w:w="6237" w:type="dxa"/>
          </w:tcPr>
          <w:p w:rsidR="009F5A1D" w:rsidRPr="009F5A1D" w:rsidRDefault="009F5A1D" w:rsidP="009F5A1D">
            <w:pPr>
              <w:jc w:val="both"/>
              <w:rPr>
                <w:rFonts w:eastAsia="Calibri"/>
                <w:sz w:val="20"/>
                <w:szCs w:val="22"/>
                <w:lang w:val="es-ES" w:eastAsia="en-US"/>
              </w:rPr>
            </w:pPr>
            <w:r w:rsidRPr="009F5A1D">
              <w:rPr>
                <w:rFonts w:eastAsia="Calibri"/>
                <w:sz w:val="20"/>
                <w:szCs w:val="20"/>
                <w:lang w:val="es-ES" w:eastAsia="en-US"/>
              </w:rPr>
              <w:t>Debido al carácter festivo de los banquetes, es habitual que se ofrezcan servicios complementarios, orquesta, ornamentación, etc.</w:t>
            </w:r>
          </w:p>
        </w:tc>
        <w:tc>
          <w:tcPr>
            <w:tcW w:w="361" w:type="dxa"/>
            <w:vAlign w:val="center"/>
          </w:tcPr>
          <w:p w:rsidR="009F5A1D" w:rsidRPr="009F5A1D" w:rsidRDefault="009F5A1D" w:rsidP="009F5A1D">
            <w:pPr>
              <w:jc w:val="center"/>
              <w:rPr>
                <w:rFonts w:eastAsia="Calibri"/>
                <w:sz w:val="20"/>
                <w:szCs w:val="22"/>
                <w:lang w:val="es-ES" w:eastAsia="en-US"/>
              </w:rPr>
            </w:pPr>
            <w:r w:rsidRPr="009F5A1D">
              <w:rPr>
                <w:rFonts w:eastAsia="Calibri"/>
                <w:sz w:val="20"/>
                <w:szCs w:val="22"/>
                <w:lang w:val="es-ES" w:eastAsia="en-US"/>
              </w:rPr>
              <w:t>X</w:t>
            </w:r>
          </w:p>
        </w:tc>
        <w:tc>
          <w:tcPr>
            <w:tcW w:w="361" w:type="dxa"/>
            <w:vAlign w:val="center"/>
          </w:tcPr>
          <w:p w:rsidR="009F5A1D" w:rsidRPr="009F5A1D" w:rsidRDefault="009F5A1D" w:rsidP="009F5A1D">
            <w:pPr>
              <w:jc w:val="center"/>
              <w:rPr>
                <w:rFonts w:eastAsia="Calibri"/>
                <w:sz w:val="20"/>
                <w:szCs w:val="22"/>
                <w:lang w:val="es-ES" w:eastAsia="en-US"/>
              </w:rPr>
            </w:pPr>
          </w:p>
        </w:tc>
      </w:tr>
      <w:tr w:rsidR="009F5A1D" w:rsidRPr="009F5A1D" w:rsidTr="00966630">
        <w:trPr>
          <w:jc w:val="center"/>
        </w:trPr>
        <w:tc>
          <w:tcPr>
            <w:tcW w:w="6237" w:type="dxa"/>
          </w:tcPr>
          <w:p w:rsidR="009F5A1D" w:rsidRPr="009F5A1D" w:rsidRDefault="009F5A1D" w:rsidP="009F5A1D">
            <w:pPr>
              <w:jc w:val="both"/>
              <w:rPr>
                <w:rFonts w:eastAsia="Calibri"/>
                <w:sz w:val="20"/>
                <w:szCs w:val="22"/>
                <w:lang w:val="es-ES" w:eastAsia="en-US"/>
              </w:rPr>
            </w:pPr>
            <w:r w:rsidRPr="009F5A1D">
              <w:rPr>
                <w:rFonts w:eastAsia="Calibri"/>
                <w:sz w:val="20"/>
                <w:szCs w:val="22"/>
                <w:lang w:val="es-ES" w:eastAsia="en-US"/>
              </w:rPr>
              <w:t>Para el montaje del bufé hay que tener en cuenta el tipo de servicio, la superficie y características del local, el número de comensales y la temperatura de conservación, sabor, tamaño y color de las elaboraciones gastronómicas</w:t>
            </w:r>
          </w:p>
        </w:tc>
        <w:tc>
          <w:tcPr>
            <w:tcW w:w="361" w:type="dxa"/>
            <w:vAlign w:val="center"/>
          </w:tcPr>
          <w:p w:rsidR="009F5A1D" w:rsidRPr="009F5A1D" w:rsidRDefault="009F5A1D" w:rsidP="009F5A1D">
            <w:pPr>
              <w:jc w:val="center"/>
              <w:rPr>
                <w:rFonts w:eastAsia="Calibri"/>
                <w:sz w:val="20"/>
                <w:szCs w:val="22"/>
                <w:lang w:val="es-ES" w:eastAsia="en-US"/>
              </w:rPr>
            </w:pPr>
            <w:r w:rsidRPr="009F5A1D">
              <w:rPr>
                <w:rFonts w:eastAsia="Calibri"/>
                <w:sz w:val="20"/>
                <w:szCs w:val="22"/>
                <w:lang w:val="es-ES" w:eastAsia="en-US"/>
              </w:rPr>
              <w:t>X</w:t>
            </w:r>
          </w:p>
        </w:tc>
        <w:tc>
          <w:tcPr>
            <w:tcW w:w="361" w:type="dxa"/>
            <w:vAlign w:val="center"/>
          </w:tcPr>
          <w:p w:rsidR="009F5A1D" w:rsidRPr="009F5A1D" w:rsidRDefault="009F5A1D" w:rsidP="009F5A1D">
            <w:pPr>
              <w:jc w:val="center"/>
              <w:rPr>
                <w:rFonts w:eastAsia="Calibri"/>
                <w:sz w:val="20"/>
                <w:szCs w:val="22"/>
                <w:lang w:val="es-ES" w:eastAsia="en-US"/>
              </w:rPr>
            </w:pPr>
          </w:p>
        </w:tc>
      </w:tr>
      <w:tr w:rsidR="009F5A1D" w:rsidRPr="009F5A1D" w:rsidTr="00966630">
        <w:trPr>
          <w:jc w:val="center"/>
        </w:trPr>
        <w:tc>
          <w:tcPr>
            <w:tcW w:w="6237" w:type="dxa"/>
          </w:tcPr>
          <w:p w:rsidR="009F5A1D" w:rsidRPr="009F5A1D" w:rsidRDefault="009F5A1D" w:rsidP="009F5A1D">
            <w:pPr>
              <w:jc w:val="both"/>
              <w:rPr>
                <w:rFonts w:eastAsia="Calibri"/>
                <w:sz w:val="20"/>
                <w:szCs w:val="22"/>
                <w:lang w:val="es-ES" w:eastAsia="en-US"/>
              </w:rPr>
            </w:pPr>
            <w:r w:rsidRPr="009F5A1D">
              <w:rPr>
                <w:rFonts w:eastAsia="Calibri"/>
                <w:sz w:val="20"/>
                <w:szCs w:val="22"/>
                <w:lang w:val="es-ES" w:eastAsia="en-US"/>
              </w:rPr>
              <w:t>El autoservicio en línea es un sistema en el que los alimentos se exponen por grupo</w:t>
            </w:r>
            <w:r w:rsidR="00DC0449">
              <w:rPr>
                <w:rFonts w:eastAsia="Calibri"/>
                <w:sz w:val="20"/>
                <w:szCs w:val="22"/>
                <w:lang w:val="es-ES" w:eastAsia="en-US"/>
              </w:rPr>
              <w:t>s</w:t>
            </w:r>
            <w:r w:rsidRPr="009F5A1D">
              <w:rPr>
                <w:rFonts w:eastAsia="Calibri"/>
                <w:sz w:val="20"/>
                <w:szCs w:val="22"/>
                <w:lang w:val="es-ES" w:eastAsia="en-US"/>
              </w:rPr>
              <w:t xml:space="preserve"> afines y no existe un recorrido establecido, es decir, el cliente se va acercando a unos u otros según lo desee</w:t>
            </w:r>
          </w:p>
        </w:tc>
        <w:tc>
          <w:tcPr>
            <w:tcW w:w="361" w:type="dxa"/>
            <w:vAlign w:val="center"/>
          </w:tcPr>
          <w:p w:rsidR="009F5A1D" w:rsidRPr="009F5A1D" w:rsidRDefault="009F5A1D" w:rsidP="009F5A1D">
            <w:pPr>
              <w:jc w:val="center"/>
              <w:rPr>
                <w:rFonts w:eastAsia="Calibri"/>
                <w:sz w:val="20"/>
                <w:szCs w:val="22"/>
                <w:lang w:val="es-ES" w:eastAsia="en-US"/>
              </w:rPr>
            </w:pPr>
          </w:p>
        </w:tc>
        <w:tc>
          <w:tcPr>
            <w:tcW w:w="361" w:type="dxa"/>
            <w:vAlign w:val="center"/>
          </w:tcPr>
          <w:p w:rsidR="009F5A1D" w:rsidRPr="009F5A1D" w:rsidRDefault="009F5A1D" w:rsidP="009F5A1D">
            <w:pPr>
              <w:jc w:val="center"/>
              <w:rPr>
                <w:rFonts w:eastAsia="Calibri"/>
                <w:sz w:val="20"/>
                <w:szCs w:val="22"/>
                <w:lang w:val="es-ES" w:eastAsia="en-US"/>
              </w:rPr>
            </w:pPr>
            <w:r w:rsidRPr="009F5A1D">
              <w:rPr>
                <w:rFonts w:eastAsia="Calibri"/>
                <w:sz w:val="20"/>
                <w:szCs w:val="22"/>
                <w:lang w:val="es-ES" w:eastAsia="en-US"/>
              </w:rPr>
              <w:t>X</w:t>
            </w:r>
          </w:p>
        </w:tc>
      </w:tr>
      <w:tr w:rsidR="009F5A1D" w:rsidRPr="009F5A1D" w:rsidTr="00966630">
        <w:trPr>
          <w:jc w:val="center"/>
        </w:trPr>
        <w:tc>
          <w:tcPr>
            <w:tcW w:w="6237" w:type="dxa"/>
          </w:tcPr>
          <w:p w:rsidR="009F5A1D" w:rsidRPr="009F5A1D" w:rsidRDefault="009F5A1D" w:rsidP="009F5A1D">
            <w:pPr>
              <w:jc w:val="both"/>
              <w:rPr>
                <w:rFonts w:eastAsia="Calibri"/>
                <w:sz w:val="20"/>
                <w:szCs w:val="22"/>
                <w:lang w:val="es-ES" w:eastAsia="en-US"/>
              </w:rPr>
            </w:pPr>
            <w:r w:rsidRPr="009F5A1D">
              <w:rPr>
                <w:rFonts w:eastAsia="Calibri"/>
                <w:sz w:val="20"/>
                <w:szCs w:val="22"/>
                <w:lang w:val="es-ES" w:eastAsia="en-US"/>
              </w:rPr>
              <w:t>La acción de decorar un local es posterior a la planificación y a la elaboración del presupuesto</w:t>
            </w:r>
          </w:p>
        </w:tc>
        <w:tc>
          <w:tcPr>
            <w:tcW w:w="361" w:type="dxa"/>
            <w:vAlign w:val="center"/>
          </w:tcPr>
          <w:p w:rsidR="009F5A1D" w:rsidRPr="009F5A1D" w:rsidRDefault="009F5A1D" w:rsidP="009F5A1D">
            <w:pPr>
              <w:jc w:val="center"/>
              <w:rPr>
                <w:rFonts w:eastAsia="Calibri"/>
                <w:sz w:val="20"/>
                <w:szCs w:val="22"/>
                <w:lang w:val="es-ES" w:eastAsia="en-US"/>
              </w:rPr>
            </w:pPr>
            <w:r w:rsidRPr="009F5A1D">
              <w:rPr>
                <w:rFonts w:eastAsia="Calibri"/>
                <w:sz w:val="20"/>
                <w:szCs w:val="22"/>
                <w:lang w:val="es-ES" w:eastAsia="en-US"/>
              </w:rPr>
              <w:t>X</w:t>
            </w:r>
          </w:p>
        </w:tc>
        <w:tc>
          <w:tcPr>
            <w:tcW w:w="361" w:type="dxa"/>
            <w:vAlign w:val="center"/>
          </w:tcPr>
          <w:p w:rsidR="009F5A1D" w:rsidRPr="009F5A1D" w:rsidRDefault="009F5A1D" w:rsidP="009F5A1D">
            <w:pPr>
              <w:jc w:val="center"/>
              <w:rPr>
                <w:rFonts w:eastAsia="Calibri"/>
                <w:sz w:val="20"/>
                <w:szCs w:val="22"/>
                <w:lang w:val="es-ES" w:eastAsia="en-US"/>
              </w:rPr>
            </w:pPr>
          </w:p>
        </w:tc>
      </w:tr>
    </w:tbl>
    <w:p w:rsidR="00321772" w:rsidRDefault="00321772" w:rsidP="00321772">
      <w:pPr>
        <w:rPr>
          <w:sz w:val="20"/>
          <w:szCs w:val="20"/>
        </w:rPr>
      </w:pPr>
    </w:p>
    <w:p w:rsidR="00321772" w:rsidRDefault="00321772" w:rsidP="00D7034C">
      <w:pPr>
        <w:rPr>
          <w:b/>
          <w:sz w:val="20"/>
          <w:szCs w:val="20"/>
        </w:rPr>
      </w:pPr>
      <w:r w:rsidRPr="00DD3CB7">
        <w:rPr>
          <w:b/>
          <w:sz w:val="20"/>
          <w:szCs w:val="20"/>
        </w:rPr>
        <w:t xml:space="preserve">3. </w:t>
      </w:r>
      <w:r w:rsidR="00231A1E">
        <w:rPr>
          <w:b/>
          <w:sz w:val="20"/>
          <w:szCs w:val="20"/>
        </w:rPr>
        <w:t xml:space="preserve">Explique el proceso de organización </w:t>
      </w:r>
      <w:r w:rsidR="00BB43E6">
        <w:rPr>
          <w:b/>
          <w:sz w:val="20"/>
          <w:szCs w:val="20"/>
        </w:rPr>
        <w:t xml:space="preserve">previo a la celebración </w:t>
      </w:r>
      <w:r w:rsidR="00231A1E">
        <w:rPr>
          <w:b/>
          <w:sz w:val="20"/>
          <w:szCs w:val="20"/>
        </w:rPr>
        <w:t>de un evento.</w:t>
      </w:r>
    </w:p>
    <w:p w:rsidR="00231A1E" w:rsidRDefault="00231A1E" w:rsidP="00D7034C">
      <w:pPr>
        <w:rPr>
          <w:rFonts w:eastAsia="Calibri"/>
          <w:sz w:val="20"/>
          <w:szCs w:val="20"/>
          <w:lang w:val="es-ES"/>
        </w:rPr>
      </w:pPr>
    </w:p>
    <w:p w:rsidR="00231A1E" w:rsidRPr="00231A1E" w:rsidRDefault="00BB43E6" w:rsidP="00231A1E">
      <w:pPr>
        <w:jc w:val="both"/>
        <w:rPr>
          <w:rFonts w:eastAsia="Calibri"/>
          <w:sz w:val="20"/>
          <w:szCs w:val="20"/>
          <w:lang w:val="es-ES" w:eastAsia="en-US"/>
        </w:rPr>
      </w:pPr>
      <w:r>
        <w:rPr>
          <w:rFonts w:eastAsia="Calibri"/>
          <w:sz w:val="20"/>
          <w:szCs w:val="20"/>
          <w:lang w:val="es-ES" w:eastAsia="en-US"/>
        </w:rPr>
        <w:t xml:space="preserve">Una vez el cliente contacta con la empresa y le especifica los pormenores del evento que quiere contratar, el profesional </w:t>
      </w:r>
      <w:r w:rsidR="00231A1E" w:rsidRPr="00231A1E">
        <w:rPr>
          <w:rFonts w:eastAsia="Calibri"/>
          <w:sz w:val="20"/>
          <w:szCs w:val="20"/>
          <w:lang w:val="es-ES" w:eastAsia="en-US"/>
        </w:rPr>
        <w:t xml:space="preserve">intentará adecuar sus deseos a los recursos de los que dispone la empresa. </w:t>
      </w:r>
      <w:r>
        <w:rPr>
          <w:rFonts w:eastAsia="Calibri"/>
          <w:sz w:val="20"/>
          <w:szCs w:val="20"/>
          <w:lang w:val="es-ES" w:eastAsia="en-US"/>
        </w:rPr>
        <w:t>En este punto es importante que la empresa organice el evento teniendo en cuenta</w:t>
      </w:r>
      <w:r w:rsidR="00231A1E" w:rsidRPr="00231A1E">
        <w:rPr>
          <w:rFonts w:eastAsia="Calibri"/>
          <w:sz w:val="20"/>
          <w:szCs w:val="20"/>
          <w:lang w:val="es-ES" w:eastAsia="en-US"/>
        </w:rPr>
        <w:t xml:space="preserve"> fecha, espacio, material, personal disponible, formalización y servicio.</w:t>
      </w:r>
      <w:r>
        <w:rPr>
          <w:rFonts w:eastAsia="Calibri"/>
          <w:sz w:val="20"/>
          <w:szCs w:val="20"/>
          <w:lang w:val="es-ES" w:eastAsia="en-US"/>
        </w:rPr>
        <w:t xml:space="preserve"> </w:t>
      </w:r>
      <w:r w:rsidR="00231A1E" w:rsidRPr="00231A1E">
        <w:rPr>
          <w:rFonts w:eastAsia="Calibri"/>
          <w:sz w:val="20"/>
          <w:szCs w:val="20"/>
          <w:lang w:val="es-ES" w:eastAsia="en-US"/>
        </w:rPr>
        <w:t>La fecha debe estar disponible para la realiz</w:t>
      </w:r>
      <w:r>
        <w:rPr>
          <w:rFonts w:eastAsia="Calibri"/>
          <w:sz w:val="20"/>
          <w:szCs w:val="20"/>
          <w:lang w:val="es-ES" w:eastAsia="en-US"/>
        </w:rPr>
        <w:t>a</w:t>
      </w:r>
      <w:r w:rsidR="00D43D58">
        <w:rPr>
          <w:rFonts w:eastAsia="Calibri"/>
          <w:sz w:val="20"/>
          <w:szCs w:val="20"/>
          <w:lang w:val="es-ES" w:eastAsia="en-US"/>
        </w:rPr>
        <w:t>ción del banquete o, si hay otra</w:t>
      </w:r>
      <w:r>
        <w:rPr>
          <w:rFonts w:eastAsia="Calibri"/>
          <w:sz w:val="20"/>
          <w:szCs w:val="20"/>
          <w:lang w:val="es-ES" w:eastAsia="en-US"/>
        </w:rPr>
        <w:t>s</w:t>
      </w:r>
      <w:r w:rsidR="00231A1E" w:rsidRPr="00231A1E">
        <w:rPr>
          <w:rFonts w:eastAsia="Calibri"/>
          <w:sz w:val="20"/>
          <w:szCs w:val="20"/>
          <w:lang w:val="es-ES" w:eastAsia="en-US"/>
        </w:rPr>
        <w:t xml:space="preserve"> celebraciones contratadas</w:t>
      </w:r>
      <w:r w:rsidR="00703CE8">
        <w:rPr>
          <w:rFonts w:eastAsia="Calibri"/>
          <w:sz w:val="20"/>
          <w:szCs w:val="20"/>
          <w:lang w:val="es-ES" w:eastAsia="en-US"/>
        </w:rPr>
        <w:t>,</w:t>
      </w:r>
      <w:r w:rsidR="00231A1E" w:rsidRPr="00231A1E">
        <w:rPr>
          <w:rFonts w:eastAsia="Calibri"/>
          <w:sz w:val="20"/>
          <w:szCs w:val="20"/>
          <w:lang w:val="es-ES" w:eastAsia="en-US"/>
        </w:rPr>
        <w:t xml:space="preserve"> hay que corroborar que </w:t>
      </w:r>
      <w:r>
        <w:rPr>
          <w:rFonts w:eastAsia="Calibri"/>
          <w:sz w:val="20"/>
          <w:szCs w:val="20"/>
          <w:lang w:val="es-ES" w:eastAsia="en-US"/>
        </w:rPr>
        <w:t>se dispone de los recursos suficientes para realizar ambos eventos.</w:t>
      </w:r>
    </w:p>
    <w:p w:rsidR="00231A1E" w:rsidRPr="00231A1E" w:rsidRDefault="00231A1E" w:rsidP="00231A1E">
      <w:pPr>
        <w:jc w:val="both"/>
        <w:rPr>
          <w:rFonts w:eastAsia="Calibri"/>
          <w:sz w:val="20"/>
          <w:szCs w:val="20"/>
          <w:lang w:val="es-ES" w:eastAsia="en-US"/>
        </w:rPr>
      </w:pPr>
    </w:p>
    <w:p w:rsidR="00231A1E" w:rsidRPr="00231A1E" w:rsidRDefault="00D43D58" w:rsidP="00231A1E">
      <w:pPr>
        <w:jc w:val="both"/>
        <w:rPr>
          <w:rFonts w:eastAsia="Calibri"/>
          <w:sz w:val="20"/>
          <w:szCs w:val="20"/>
          <w:lang w:val="es-ES" w:eastAsia="en-US"/>
        </w:rPr>
      </w:pPr>
      <w:r>
        <w:rPr>
          <w:rFonts w:eastAsia="Calibri"/>
          <w:sz w:val="20"/>
          <w:szCs w:val="20"/>
          <w:lang w:val="es-ES" w:eastAsia="en-US"/>
        </w:rPr>
        <w:t xml:space="preserve">Lo mismo ocurre con el espacio, </w:t>
      </w:r>
      <w:r w:rsidR="00231A1E" w:rsidRPr="00231A1E">
        <w:rPr>
          <w:rFonts w:eastAsia="Calibri"/>
          <w:sz w:val="20"/>
          <w:szCs w:val="20"/>
          <w:lang w:val="es-ES" w:eastAsia="en-US"/>
        </w:rPr>
        <w:t xml:space="preserve">hay que comprobar </w:t>
      </w:r>
      <w:r>
        <w:rPr>
          <w:rFonts w:eastAsia="Calibri"/>
          <w:sz w:val="20"/>
          <w:szCs w:val="20"/>
          <w:lang w:val="es-ES" w:eastAsia="en-US"/>
        </w:rPr>
        <w:t>el horario de otros eventos contratados para</w:t>
      </w:r>
      <w:r w:rsidR="00231A1E" w:rsidRPr="00231A1E">
        <w:rPr>
          <w:rFonts w:eastAsia="Calibri"/>
          <w:sz w:val="20"/>
          <w:szCs w:val="20"/>
          <w:lang w:val="es-ES" w:eastAsia="en-US"/>
        </w:rPr>
        <w:t xml:space="preserve"> contar con el tiempo suficiente para reorganizarse y que dé tiempo a realizar tareas como recoger, limpiar, remontar y prepararse para el nuevo servicio.</w:t>
      </w:r>
      <w:r>
        <w:rPr>
          <w:rFonts w:eastAsia="Calibri"/>
          <w:sz w:val="20"/>
          <w:szCs w:val="20"/>
          <w:lang w:val="es-ES" w:eastAsia="en-US"/>
        </w:rPr>
        <w:t xml:space="preserve"> En cuanto al material, es necesario hacer una estimación de todo lo que se va a necesitar y sopesar la posibilidad de</w:t>
      </w:r>
      <w:r w:rsidR="00231A1E" w:rsidRPr="00231A1E">
        <w:rPr>
          <w:rFonts w:eastAsia="Calibri"/>
          <w:sz w:val="20"/>
          <w:szCs w:val="20"/>
          <w:lang w:val="es-ES" w:eastAsia="en-US"/>
        </w:rPr>
        <w:t xml:space="preserve"> </w:t>
      </w:r>
      <w:r w:rsidR="00703CE8">
        <w:rPr>
          <w:rFonts w:eastAsia="Calibri"/>
          <w:sz w:val="20"/>
          <w:szCs w:val="20"/>
          <w:lang w:val="es-ES" w:eastAsia="en-US"/>
        </w:rPr>
        <w:t>alquilar materiales</w:t>
      </w:r>
      <w:r w:rsidR="00231A1E" w:rsidRPr="00231A1E">
        <w:rPr>
          <w:rFonts w:eastAsia="Calibri"/>
          <w:sz w:val="20"/>
          <w:szCs w:val="20"/>
          <w:lang w:val="es-ES" w:eastAsia="en-US"/>
        </w:rPr>
        <w:t>. También tienen que existir los recursos</w:t>
      </w:r>
      <w:r>
        <w:rPr>
          <w:rFonts w:eastAsia="Calibri"/>
          <w:sz w:val="20"/>
          <w:szCs w:val="20"/>
          <w:lang w:val="es-ES" w:eastAsia="en-US"/>
        </w:rPr>
        <w:t xml:space="preserve"> humanos suficientes, si se considera que no se puede cubrir el servicio con el personal del que se dispone, se contratará personal extra.</w:t>
      </w:r>
    </w:p>
    <w:p w:rsidR="00231A1E" w:rsidRPr="00231A1E" w:rsidRDefault="00231A1E" w:rsidP="00231A1E">
      <w:pPr>
        <w:jc w:val="both"/>
        <w:rPr>
          <w:rFonts w:eastAsia="Calibri"/>
          <w:sz w:val="20"/>
          <w:szCs w:val="20"/>
          <w:lang w:val="es-ES" w:eastAsia="en-US"/>
        </w:rPr>
      </w:pPr>
    </w:p>
    <w:p w:rsidR="00231A1E" w:rsidRPr="00231A1E" w:rsidRDefault="00231A1E" w:rsidP="00231A1E">
      <w:pPr>
        <w:jc w:val="both"/>
        <w:rPr>
          <w:rFonts w:eastAsia="Calibri"/>
          <w:sz w:val="20"/>
          <w:szCs w:val="20"/>
          <w:lang w:val="es-ES" w:eastAsia="en-US"/>
        </w:rPr>
      </w:pPr>
      <w:r w:rsidRPr="00231A1E">
        <w:rPr>
          <w:rFonts w:eastAsia="Calibri"/>
          <w:sz w:val="20"/>
          <w:szCs w:val="20"/>
          <w:lang w:val="es-ES" w:eastAsia="en-US"/>
        </w:rPr>
        <w:t xml:space="preserve">La formalización abarca los términos y condiciones </w:t>
      </w:r>
      <w:proofErr w:type="gramStart"/>
      <w:r w:rsidRPr="00231A1E">
        <w:rPr>
          <w:rFonts w:eastAsia="Calibri"/>
          <w:sz w:val="20"/>
          <w:szCs w:val="20"/>
          <w:lang w:val="es-ES" w:eastAsia="en-US"/>
        </w:rPr>
        <w:t>necesarios</w:t>
      </w:r>
      <w:proofErr w:type="gramEnd"/>
      <w:r w:rsidRPr="00231A1E">
        <w:rPr>
          <w:rFonts w:eastAsia="Calibri"/>
          <w:sz w:val="20"/>
          <w:szCs w:val="20"/>
          <w:lang w:val="es-ES" w:eastAsia="en-US"/>
        </w:rPr>
        <w:t xml:space="preserve"> para realizar el evento, es decir, la documentación requerida y la existencia de acuerdo. Tiene que estar determinada la persona o personas habilitadas para efectuar contrataciones.</w:t>
      </w:r>
      <w:r w:rsidR="00D43D58">
        <w:rPr>
          <w:rFonts w:eastAsia="Calibri"/>
          <w:sz w:val="20"/>
          <w:szCs w:val="20"/>
          <w:lang w:val="es-ES" w:eastAsia="en-US"/>
        </w:rPr>
        <w:t xml:space="preserve"> </w:t>
      </w:r>
      <w:r w:rsidRPr="00231A1E">
        <w:rPr>
          <w:rFonts w:eastAsia="Calibri"/>
          <w:sz w:val="20"/>
          <w:szCs w:val="20"/>
          <w:lang w:val="es-ES" w:eastAsia="en-US"/>
        </w:rPr>
        <w:t>El servicio comprende a todos los departamentos implicados. Estos han de conocer sus obligaciones y responsabilidades, para esto deben existir medios de comunicación interna y de coordinación departamental.</w:t>
      </w:r>
    </w:p>
    <w:p w:rsidR="00231A1E" w:rsidRPr="00231A1E" w:rsidRDefault="00231A1E" w:rsidP="00231A1E">
      <w:pPr>
        <w:jc w:val="both"/>
        <w:rPr>
          <w:rFonts w:eastAsia="Calibri"/>
          <w:sz w:val="20"/>
          <w:szCs w:val="20"/>
          <w:lang w:val="es-ES" w:eastAsia="en-US"/>
        </w:rPr>
      </w:pPr>
    </w:p>
    <w:p w:rsidR="004A46D8" w:rsidRDefault="00DD3CB7" w:rsidP="004A46D8">
      <w:pPr>
        <w:rPr>
          <w:b/>
          <w:sz w:val="20"/>
          <w:szCs w:val="20"/>
        </w:rPr>
      </w:pPr>
      <w:r w:rsidRPr="00DD3CB7">
        <w:rPr>
          <w:rFonts w:eastAsia="Calibri"/>
          <w:b/>
          <w:sz w:val="20"/>
          <w:szCs w:val="20"/>
          <w:lang w:val="es-ES"/>
        </w:rPr>
        <w:lastRenderedPageBreak/>
        <w:t>4.</w:t>
      </w:r>
      <w:r w:rsidR="00D7034C">
        <w:rPr>
          <w:b/>
          <w:sz w:val="20"/>
          <w:szCs w:val="20"/>
        </w:rPr>
        <w:t xml:space="preserve"> </w:t>
      </w:r>
      <w:r w:rsidR="004A46D8">
        <w:rPr>
          <w:b/>
          <w:sz w:val="20"/>
          <w:szCs w:val="20"/>
        </w:rPr>
        <w:t>¿Qué es la orden de servicio?</w:t>
      </w:r>
    </w:p>
    <w:p w:rsidR="004A46D8" w:rsidRDefault="004A46D8" w:rsidP="004A46D8">
      <w:pPr>
        <w:rPr>
          <w:b/>
          <w:sz w:val="20"/>
          <w:szCs w:val="20"/>
        </w:rPr>
      </w:pPr>
    </w:p>
    <w:p w:rsidR="004A46D8" w:rsidRDefault="004A46D8" w:rsidP="004A46D8">
      <w:pPr>
        <w:jc w:val="both"/>
        <w:rPr>
          <w:rFonts w:eastAsia="Calibri"/>
          <w:sz w:val="20"/>
          <w:szCs w:val="20"/>
          <w:lang w:val="es-ES" w:eastAsia="en-US"/>
        </w:rPr>
      </w:pPr>
      <w:r w:rsidRPr="004A46D8">
        <w:rPr>
          <w:rFonts w:eastAsia="Calibri"/>
          <w:sz w:val="20"/>
          <w:szCs w:val="20"/>
          <w:lang w:val="es-ES" w:eastAsia="en-US"/>
        </w:rPr>
        <w:t>La orden de servicio es un documento interno, elaborado por el departamento de ventas, en el que se detallan todos los servicios contratados por el cliente. Se proporcionan, por lo general, dos copias a cada departamento: una impresa entregada por el departamento de recepción y otra enviada por correo electrónico al jefe de cada uno de los departamentos, que se encargan de organizar y prestar los servicios requeridos.</w:t>
      </w:r>
    </w:p>
    <w:p w:rsidR="004A46D8" w:rsidRPr="004A46D8" w:rsidRDefault="004A46D8" w:rsidP="004A46D8">
      <w:pPr>
        <w:rPr>
          <w:rFonts w:eastAsia="Calibri"/>
          <w:sz w:val="20"/>
          <w:szCs w:val="20"/>
          <w:lang w:val="es-ES" w:eastAsia="en-US"/>
        </w:rPr>
      </w:pPr>
    </w:p>
    <w:p w:rsidR="00ED65A1" w:rsidRPr="00ED65A1" w:rsidRDefault="00ED65A1" w:rsidP="004A46D8">
      <w:pPr>
        <w:tabs>
          <w:tab w:val="left" w:pos="170"/>
        </w:tabs>
        <w:jc w:val="both"/>
        <w:rPr>
          <w:rFonts w:eastAsia="Calibri"/>
          <w:b/>
          <w:sz w:val="20"/>
          <w:szCs w:val="22"/>
          <w:lang w:val="es-ES" w:eastAsia="en-US"/>
        </w:rPr>
      </w:pPr>
      <w:r w:rsidRPr="00ED65A1">
        <w:rPr>
          <w:rFonts w:eastAsia="Calibri"/>
          <w:b/>
          <w:sz w:val="20"/>
          <w:szCs w:val="22"/>
          <w:lang w:val="es-ES" w:eastAsia="en-US"/>
        </w:rPr>
        <w:t>5. Señale las finalidades de la promoción</w:t>
      </w:r>
      <w:r w:rsidR="0082111F">
        <w:rPr>
          <w:rFonts w:eastAsia="Calibri"/>
          <w:b/>
          <w:sz w:val="20"/>
          <w:szCs w:val="22"/>
          <w:lang w:val="es-ES" w:eastAsia="en-US"/>
        </w:rPr>
        <w:t>.</w:t>
      </w:r>
    </w:p>
    <w:p w:rsidR="00ED65A1" w:rsidRPr="00ED65A1" w:rsidRDefault="00ED65A1" w:rsidP="00ED65A1">
      <w:pPr>
        <w:jc w:val="both"/>
        <w:rPr>
          <w:rFonts w:eastAsia="Calibri"/>
          <w:sz w:val="20"/>
          <w:szCs w:val="22"/>
          <w:lang w:val="es-ES" w:eastAsia="en-US"/>
        </w:rPr>
      </w:pPr>
    </w:p>
    <w:p w:rsidR="00ED65A1" w:rsidRPr="00ED65A1" w:rsidRDefault="00ED65A1" w:rsidP="00ED65A1">
      <w:pPr>
        <w:tabs>
          <w:tab w:val="left" w:pos="170"/>
        </w:tabs>
        <w:jc w:val="both"/>
        <w:rPr>
          <w:rFonts w:eastAsia="Calibri"/>
          <w:sz w:val="20"/>
          <w:szCs w:val="20"/>
          <w:lang w:val="es-ES" w:eastAsia="en-US"/>
        </w:rPr>
      </w:pPr>
      <w:r w:rsidRPr="00ED65A1">
        <w:rPr>
          <w:rFonts w:eastAsia="Calibri"/>
          <w:sz w:val="20"/>
          <w:szCs w:val="20"/>
          <w:lang w:val="es-ES" w:eastAsia="en-US"/>
        </w:rPr>
        <w:sym w:font="Wingdings" w:char="F0FE"/>
      </w:r>
      <w:r w:rsidRPr="00ED65A1">
        <w:rPr>
          <w:rFonts w:eastAsia="Calibri"/>
          <w:sz w:val="20"/>
          <w:szCs w:val="20"/>
          <w:lang w:val="es-ES" w:eastAsia="en-US"/>
        </w:rPr>
        <w:tab/>
        <w:t>Introducir nuevos productos o servicios.</w:t>
      </w:r>
    </w:p>
    <w:p w:rsidR="00ED65A1" w:rsidRPr="00ED65A1" w:rsidRDefault="00ED65A1" w:rsidP="00ED65A1">
      <w:pPr>
        <w:jc w:val="both"/>
        <w:rPr>
          <w:rFonts w:eastAsia="Calibri"/>
          <w:sz w:val="20"/>
          <w:szCs w:val="20"/>
          <w:lang w:val="es-ES" w:eastAsia="en-US"/>
        </w:rPr>
      </w:pPr>
      <w:r w:rsidRPr="00ED65A1">
        <w:rPr>
          <w:rFonts w:eastAsia="Calibri"/>
          <w:sz w:val="20"/>
          <w:szCs w:val="20"/>
          <w:lang w:val="es-ES" w:eastAsia="en-US"/>
        </w:rPr>
        <w:sym w:font="Wingdings" w:char="F06F"/>
      </w:r>
      <w:r w:rsidRPr="00ED65A1">
        <w:rPr>
          <w:rFonts w:eastAsia="Calibri"/>
          <w:sz w:val="20"/>
          <w:szCs w:val="20"/>
          <w:lang w:val="es-ES" w:eastAsia="en-US"/>
        </w:rPr>
        <w:tab/>
        <w:t>Gestionar la satisfacción del cliente.</w:t>
      </w:r>
    </w:p>
    <w:p w:rsidR="00ED65A1" w:rsidRPr="00ED65A1" w:rsidRDefault="00ED65A1" w:rsidP="00ED65A1">
      <w:pPr>
        <w:tabs>
          <w:tab w:val="left" w:pos="170"/>
        </w:tabs>
        <w:jc w:val="both"/>
        <w:rPr>
          <w:rFonts w:eastAsia="Calibri"/>
          <w:sz w:val="20"/>
          <w:szCs w:val="20"/>
          <w:lang w:val="es-ES" w:eastAsia="en-US"/>
        </w:rPr>
      </w:pPr>
      <w:r w:rsidRPr="00ED65A1">
        <w:rPr>
          <w:rFonts w:eastAsia="Calibri"/>
          <w:sz w:val="20"/>
          <w:szCs w:val="20"/>
          <w:lang w:val="es-ES" w:eastAsia="en-US"/>
        </w:rPr>
        <w:sym w:font="Wingdings" w:char="F0FE"/>
      </w:r>
      <w:r w:rsidRPr="00ED65A1">
        <w:rPr>
          <w:rFonts w:eastAsia="Calibri"/>
          <w:sz w:val="20"/>
          <w:szCs w:val="20"/>
          <w:lang w:val="es-ES" w:eastAsia="en-US"/>
        </w:rPr>
        <w:tab/>
        <w:t>Incrementar las ventas.</w:t>
      </w:r>
    </w:p>
    <w:p w:rsidR="00ED65A1" w:rsidRPr="00ED65A1" w:rsidRDefault="00ED65A1" w:rsidP="00ED65A1">
      <w:pPr>
        <w:ind w:left="170" w:hanging="170"/>
        <w:jc w:val="both"/>
        <w:rPr>
          <w:rFonts w:eastAsia="Calibri"/>
          <w:sz w:val="20"/>
          <w:szCs w:val="20"/>
          <w:lang w:val="es-ES" w:eastAsia="en-US"/>
        </w:rPr>
      </w:pPr>
      <w:r w:rsidRPr="00ED65A1">
        <w:rPr>
          <w:rFonts w:eastAsia="Calibri"/>
          <w:sz w:val="20"/>
          <w:szCs w:val="20"/>
          <w:lang w:val="es-ES" w:eastAsia="en-US"/>
        </w:rPr>
        <w:sym w:font="Wingdings" w:char="F06F"/>
      </w:r>
      <w:r w:rsidRPr="00ED65A1">
        <w:rPr>
          <w:rFonts w:eastAsia="Calibri"/>
          <w:sz w:val="20"/>
          <w:szCs w:val="20"/>
          <w:lang w:val="es-ES" w:eastAsia="en-US"/>
        </w:rPr>
        <w:tab/>
        <w:t>Constatar si se han llevado a cabo todos los servicios.</w:t>
      </w:r>
    </w:p>
    <w:p w:rsidR="00ED65A1" w:rsidRPr="00ED65A1" w:rsidRDefault="00ED65A1" w:rsidP="00ED65A1">
      <w:pPr>
        <w:jc w:val="both"/>
        <w:rPr>
          <w:rFonts w:eastAsia="Calibri"/>
          <w:sz w:val="20"/>
          <w:szCs w:val="20"/>
          <w:lang w:val="es-ES" w:eastAsia="en-US"/>
        </w:rPr>
      </w:pPr>
      <w:r w:rsidRPr="00ED65A1">
        <w:rPr>
          <w:rFonts w:eastAsia="Calibri"/>
          <w:sz w:val="20"/>
          <w:szCs w:val="20"/>
          <w:lang w:val="es-ES" w:eastAsia="en-US"/>
        </w:rPr>
        <w:sym w:font="Wingdings" w:char="F0FE"/>
      </w:r>
      <w:r w:rsidRPr="00ED65A1">
        <w:rPr>
          <w:rFonts w:eastAsia="Calibri"/>
          <w:sz w:val="20"/>
          <w:szCs w:val="20"/>
          <w:lang w:val="es-ES" w:eastAsia="en-US"/>
        </w:rPr>
        <w:tab/>
        <w:t>Captar clientes.</w:t>
      </w:r>
    </w:p>
    <w:p w:rsidR="00ED65A1" w:rsidRPr="00ED65A1" w:rsidRDefault="00ED65A1" w:rsidP="00ED65A1">
      <w:pPr>
        <w:jc w:val="both"/>
        <w:rPr>
          <w:rFonts w:eastAsia="Calibri"/>
          <w:sz w:val="20"/>
          <w:szCs w:val="22"/>
          <w:lang w:val="es-ES" w:eastAsia="en-US"/>
        </w:rPr>
      </w:pPr>
      <w:r w:rsidRPr="00ED65A1">
        <w:rPr>
          <w:rFonts w:eastAsia="Calibri"/>
          <w:sz w:val="20"/>
          <w:szCs w:val="20"/>
          <w:lang w:val="es-ES" w:eastAsia="en-US"/>
        </w:rPr>
        <w:sym w:font="Wingdings" w:char="F0FE"/>
      </w:r>
      <w:r w:rsidRPr="00ED65A1">
        <w:rPr>
          <w:rFonts w:eastAsia="Calibri"/>
          <w:sz w:val="20"/>
          <w:szCs w:val="20"/>
          <w:lang w:val="es-ES" w:eastAsia="en-US"/>
        </w:rPr>
        <w:tab/>
        <w:t>Afianzar la clientela.</w:t>
      </w:r>
    </w:p>
    <w:p w:rsidR="00F51427" w:rsidRPr="00ED65A1" w:rsidRDefault="00F51427" w:rsidP="00F51427">
      <w:pPr>
        <w:tabs>
          <w:tab w:val="left" w:pos="170"/>
        </w:tabs>
        <w:jc w:val="both"/>
        <w:rPr>
          <w:rFonts w:eastAsia="Calibri"/>
          <w:sz w:val="20"/>
          <w:szCs w:val="20"/>
          <w:lang w:val="es-ES"/>
        </w:rPr>
      </w:pPr>
    </w:p>
    <w:p w:rsidR="00F53132" w:rsidRPr="00F53132" w:rsidRDefault="00F53132" w:rsidP="00F53132">
      <w:pPr>
        <w:jc w:val="both"/>
        <w:rPr>
          <w:rFonts w:eastAsia="Calibri"/>
          <w:b/>
          <w:sz w:val="20"/>
          <w:szCs w:val="22"/>
          <w:lang w:val="es-ES" w:eastAsia="en-US"/>
        </w:rPr>
      </w:pPr>
      <w:r w:rsidRPr="00F53132">
        <w:rPr>
          <w:rFonts w:eastAsia="Calibri"/>
          <w:b/>
          <w:sz w:val="20"/>
          <w:szCs w:val="22"/>
          <w:lang w:val="es-ES" w:eastAsia="en-US"/>
        </w:rPr>
        <w:t>6. Complete el siguiente esquema del orden de los productos en el bufé.</w:t>
      </w:r>
    </w:p>
    <w:p w:rsidR="00F51427" w:rsidRDefault="00F51427">
      <w:pPr>
        <w:rPr>
          <w:sz w:val="20"/>
          <w:lang w:val="es-ES"/>
        </w:rPr>
      </w:pPr>
    </w:p>
    <w:p w:rsidR="00F53132" w:rsidRPr="00F53132" w:rsidRDefault="00D2314F" w:rsidP="00F53132">
      <w:pPr>
        <w:jc w:val="center"/>
        <w:rPr>
          <w:rFonts w:eastAsia="Calibri"/>
          <w:sz w:val="20"/>
          <w:szCs w:val="22"/>
          <w:lang w:val="es-ES" w:eastAsia="en-US"/>
        </w:rPr>
      </w:pPr>
      <w:bookmarkStart w:id="0" w:name="_GoBack"/>
      <w:r>
        <w:rPr>
          <w:rFonts w:eastAsia="Calibri"/>
          <w:noProof/>
          <w:sz w:val="20"/>
          <w:szCs w:val="22"/>
          <w:lang w:val="es-ES"/>
        </w:rPr>
        <w:drawing>
          <wp:inline distT="0" distB="0" distL="0" distR="0">
            <wp:extent cx="3873500" cy="17007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0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73500" cy="1700785"/>
                    </a:xfrm>
                    <a:prstGeom prst="rect">
                      <a:avLst/>
                    </a:prstGeom>
                  </pic:spPr>
                </pic:pic>
              </a:graphicData>
            </a:graphic>
          </wp:inline>
        </w:drawing>
      </w:r>
      <w:bookmarkEnd w:id="0"/>
    </w:p>
    <w:p w:rsidR="00F53132" w:rsidRDefault="00F53132">
      <w:pPr>
        <w:rPr>
          <w:sz w:val="20"/>
          <w:lang w:val="es-ES"/>
        </w:rPr>
      </w:pPr>
    </w:p>
    <w:p w:rsidR="00821E84" w:rsidRPr="00821E84" w:rsidRDefault="00821E84" w:rsidP="00821E84">
      <w:pPr>
        <w:jc w:val="both"/>
        <w:rPr>
          <w:rFonts w:eastAsia="Calibri"/>
          <w:b/>
          <w:sz w:val="20"/>
          <w:szCs w:val="22"/>
          <w:lang w:val="es-ES" w:eastAsia="en-US"/>
        </w:rPr>
      </w:pPr>
      <w:r w:rsidRPr="00821E84">
        <w:rPr>
          <w:rFonts w:eastAsia="Calibri"/>
          <w:b/>
          <w:sz w:val="20"/>
          <w:szCs w:val="22"/>
          <w:lang w:val="es-ES" w:eastAsia="en-US"/>
        </w:rPr>
        <w:t xml:space="preserve">7. ¿Cómo se realiza el montaje de un </w:t>
      </w:r>
      <w:proofErr w:type="spellStart"/>
      <w:r w:rsidRPr="00821E84">
        <w:rPr>
          <w:rFonts w:eastAsia="Calibri"/>
          <w:b/>
          <w:sz w:val="20"/>
          <w:szCs w:val="22"/>
          <w:lang w:val="es-ES" w:eastAsia="en-US"/>
        </w:rPr>
        <w:t>coffe</w:t>
      </w:r>
      <w:r w:rsidR="00527680">
        <w:rPr>
          <w:rFonts w:eastAsia="Calibri"/>
          <w:b/>
          <w:sz w:val="20"/>
          <w:szCs w:val="22"/>
          <w:lang w:val="es-ES" w:eastAsia="en-US"/>
        </w:rPr>
        <w:t>e</w:t>
      </w:r>
      <w:proofErr w:type="spellEnd"/>
      <w:r w:rsidRPr="00821E84">
        <w:rPr>
          <w:rFonts w:eastAsia="Calibri"/>
          <w:b/>
          <w:sz w:val="20"/>
          <w:szCs w:val="22"/>
          <w:lang w:val="es-ES" w:eastAsia="en-US"/>
        </w:rPr>
        <w:t xml:space="preserve"> break?</w:t>
      </w:r>
    </w:p>
    <w:p w:rsidR="0032259E" w:rsidRDefault="0032259E">
      <w:pPr>
        <w:rPr>
          <w:sz w:val="20"/>
          <w:lang w:val="es-ES"/>
        </w:rPr>
      </w:pPr>
    </w:p>
    <w:p w:rsidR="00821E84" w:rsidRPr="00821E84" w:rsidRDefault="00821E84" w:rsidP="00821E84">
      <w:pPr>
        <w:jc w:val="both"/>
        <w:rPr>
          <w:rFonts w:eastAsia="Calibri"/>
          <w:sz w:val="20"/>
          <w:szCs w:val="22"/>
          <w:lang w:val="es-ES"/>
        </w:rPr>
      </w:pPr>
      <w:r w:rsidRPr="00821E84">
        <w:rPr>
          <w:rFonts w:eastAsia="Calibri"/>
          <w:sz w:val="20"/>
          <w:szCs w:val="22"/>
          <w:lang w:val="es-ES"/>
        </w:rPr>
        <w:t xml:space="preserve">El montaje del </w:t>
      </w:r>
      <w:proofErr w:type="spellStart"/>
      <w:r w:rsidRPr="00821E84">
        <w:rPr>
          <w:rFonts w:eastAsia="Calibri"/>
          <w:sz w:val="20"/>
          <w:szCs w:val="22"/>
          <w:lang w:val="es-ES"/>
        </w:rPr>
        <w:t>coffee</w:t>
      </w:r>
      <w:proofErr w:type="spellEnd"/>
      <w:r w:rsidRPr="00821E84">
        <w:rPr>
          <w:rFonts w:eastAsia="Calibri"/>
          <w:sz w:val="20"/>
          <w:szCs w:val="22"/>
          <w:lang w:val="es-ES"/>
        </w:rPr>
        <w:t xml:space="preserve"> break varía en función del tipo que se haya contratado, aunque existen unos estándares que se deben cumplir. Para empezar, los elementos decorativos</w:t>
      </w:r>
      <w:r>
        <w:rPr>
          <w:rFonts w:eastAsia="Calibri"/>
          <w:sz w:val="20"/>
          <w:szCs w:val="22"/>
          <w:lang w:val="es-ES"/>
        </w:rPr>
        <w:t xml:space="preserve"> </w:t>
      </w:r>
      <w:r w:rsidRPr="00821E84">
        <w:rPr>
          <w:rFonts w:eastAsia="Calibri"/>
          <w:sz w:val="20"/>
          <w:szCs w:val="22"/>
          <w:lang w:val="es-ES"/>
        </w:rPr>
        <w:t>deben ser sobrios y elegantes debido al carácter profesional del evento</w:t>
      </w:r>
      <w:r>
        <w:rPr>
          <w:rFonts w:eastAsia="Calibri"/>
          <w:sz w:val="20"/>
          <w:szCs w:val="22"/>
          <w:lang w:val="es-ES"/>
        </w:rPr>
        <w:t xml:space="preserve"> y es recomendable que sean reutilizables.</w:t>
      </w:r>
    </w:p>
    <w:p w:rsidR="00821E84" w:rsidRPr="00821E84" w:rsidRDefault="00821E84" w:rsidP="00821E84">
      <w:pPr>
        <w:ind w:left="170" w:hanging="170"/>
        <w:jc w:val="both"/>
        <w:rPr>
          <w:rFonts w:eastAsia="Calibri"/>
          <w:sz w:val="20"/>
          <w:szCs w:val="22"/>
          <w:lang w:val="es-ES"/>
        </w:rPr>
      </w:pPr>
    </w:p>
    <w:p w:rsidR="00821E84" w:rsidRDefault="00821E84" w:rsidP="00821E84">
      <w:pPr>
        <w:jc w:val="both"/>
        <w:rPr>
          <w:rFonts w:eastAsia="Calibri"/>
          <w:sz w:val="20"/>
          <w:szCs w:val="22"/>
          <w:lang w:val="es-ES"/>
        </w:rPr>
      </w:pPr>
      <w:r w:rsidRPr="00821E84">
        <w:rPr>
          <w:rFonts w:eastAsia="Calibri"/>
          <w:sz w:val="20"/>
          <w:szCs w:val="22"/>
          <w:lang w:val="es-ES"/>
        </w:rPr>
        <w:t xml:space="preserve">La estación de bebidas debe estar constituida por un tablero rectangular </w:t>
      </w:r>
      <w:r>
        <w:rPr>
          <w:rFonts w:eastAsia="Calibri"/>
          <w:sz w:val="20"/>
          <w:szCs w:val="22"/>
          <w:lang w:val="es-ES"/>
        </w:rPr>
        <w:t>cubierto por la mantelería y</w:t>
      </w:r>
      <w:r w:rsidRPr="00821E84">
        <w:rPr>
          <w:rFonts w:eastAsia="Calibri"/>
          <w:sz w:val="20"/>
          <w:szCs w:val="22"/>
          <w:lang w:val="es-ES"/>
        </w:rPr>
        <w:t xml:space="preserve"> puede colocarse pegado a la pared o se pueden agrupar varios para formar bloques y situarlos en la sala de manera que los clientes puedan acceder por todos los lados de la mesa.</w:t>
      </w:r>
      <w:r>
        <w:rPr>
          <w:rFonts w:eastAsia="Calibri"/>
          <w:sz w:val="20"/>
          <w:szCs w:val="22"/>
          <w:lang w:val="es-ES"/>
        </w:rPr>
        <w:t xml:space="preserve"> En esta estación se dispondrán</w:t>
      </w:r>
      <w:r w:rsidRPr="00821E84">
        <w:rPr>
          <w:rFonts w:eastAsia="Calibri"/>
          <w:sz w:val="20"/>
          <w:szCs w:val="22"/>
          <w:lang w:val="es-ES"/>
        </w:rPr>
        <w:t xml:space="preserve"> servicios completos de café con la taza hacia</w:t>
      </w:r>
      <w:r>
        <w:rPr>
          <w:rFonts w:eastAsia="Calibri"/>
          <w:sz w:val="20"/>
          <w:szCs w:val="22"/>
          <w:lang w:val="es-ES"/>
        </w:rPr>
        <w:t xml:space="preserve"> abajo</w:t>
      </w:r>
      <w:r w:rsidRPr="00821E84">
        <w:rPr>
          <w:rFonts w:eastAsia="Calibri"/>
          <w:sz w:val="20"/>
          <w:szCs w:val="22"/>
          <w:lang w:val="es-ES"/>
        </w:rPr>
        <w:t>, variedad de infusiones, cristalería</w:t>
      </w:r>
      <w:r>
        <w:rPr>
          <w:rFonts w:eastAsia="Calibri"/>
          <w:sz w:val="20"/>
          <w:szCs w:val="22"/>
          <w:lang w:val="es-ES"/>
        </w:rPr>
        <w:t>, jarras térmicas</w:t>
      </w:r>
      <w:r w:rsidRPr="00821E84">
        <w:rPr>
          <w:rFonts w:eastAsia="Calibri"/>
          <w:sz w:val="20"/>
          <w:szCs w:val="22"/>
          <w:lang w:val="es-ES"/>
        </w:rPr>
        <w:t>, servilletas de snack rizadas, papelera de pequeñas dimensiones o similar, m</w:t>
      </w:r>
      <w:r>
        <w:rPr>
          <w:rFonts w:eastAsia="Calibri"/>
          <w:sz w:val="20"/>
          <w:szCs w:val="22"/>
          <w:lang w:val="es-ES"/>
        </w:rPr>
        <w:t xml:space="preserve">áquina de café expreso portátil y </w:t>
      </w:r>
      <w:r w:rsidRPr="00821E84">
        <w:rPr>
          <w:rFonts w:eastAsia="Calibri"/>
          <w:sz w:val="20"/>
          <w:szCs w:val="22"/>
          <w:lang w:val="es-ES"/>
        </w:rPr>
        <w:t>j</w:t>
      </w:r>
      <w:r>
        <w:rPr>
          <w:rFonts w:eastAsia="Calibri"/>
          <w:sz w:val="20"/>
          <w:szCs w:val="22"/>
          <w:lang w:val="es-ES"/>
        </w:rPr>
        <w:t>arras de cristal con cucharilla para los zumos.</w:t>
      </w:r>
    </w:p>
    <w:p w:rsidR="00821E84" w:rsidRPr="00821E84" w:rsidRDefault="00821E84" w:rsidP="00821E84">
      <w:pPr>
        <w:jc w:val="both"/>
        <w:rPr>
          <w:rFonts w:eastAsia="Calibri"/>
          <w:sz w:val="20"/>
          <w:szCs w:val="22"/>
          <w:lang w:val="es-ES"/>
        </w:rPr>
      </w:pPr>
    </w:p>
    <w:p w:rsidR="00821E84" w:rsidRDefault="00821E84" w:rsidP="00821E84">
      <w:pPr>
        <w:jc w:val="both"/>
        <w:rPr>
          <w:rFonts w:eastAsia="Calibri"/>
          <w:sz w:val="20"/>
          <w:szCs w:val="22"/>
          <w:lang w:val="es-ES"/>
        </w:rPr>
      </w:pPr>
      <w:r w:rsidRPr="00821E84">
        <w:rPr>
          <w:rFonts w:eastAsia="Calibri"/>
          <w:sz w:val="20"/>
          <w:szCs w:val="22"/>
          <w:lang w:val="es-ES"/>
        </w:rPr>
        <w:t xml:space="preserve">En las mesas de apoyo (mesas altas o </w:t>
      </w:r>
      <w:proofErr w:type="gramStart"/>
      <w:r w:rsidRPr="00821E84">
        <w:rPr>
          <w:rFonts w:eastAsia="Calibri"/>
          <w:sz w:val="20"/>
          <w:szCs w:val="22"/>
          <w:lang w:val="es-ES"/>
        </w:rPr>
        <w:t>veladores</w:t>
      </w:r>
      <w:proofErr w:type="gramEnd"/>
      <w:r w:rsidRPr="00821E84">
        <w:rPr>
          <w:rFonts w:eastAsia="Calibri"/>
          <w:sz w:val="20"/>
          <w:szCs w:val="22"/>
          <w:lang w:val="es-ES"/>
        </w:rPr>
        <w:t>) se dispone un plato con servilletas de snack rizadas o en servilletero específico, papelera de pequeñas dimensiones y elementos decorativos.</w:t>
      </w:r>
    </w:p>
    <w:p w:rsidR="00821E84" w:rsidRDefault="00821E84" w:rsidP="00821E84">
      <w:pPr>
        <w:jc w:val="both"/>
        <w:rPr>
          <w:rFonts w:eastAsia="Calibri"/>
          <w:sz w:val="20"/>
          <w:szCs w:val="22"/>
          <w:lang w:val="es-ES"/>
        </w:rPr>
      </w:pPr>
    </w:p>
    <w:p w:rsidR="00821E84" w:rsidRPr="00821E84" w:rsidRDefault="00821E84" w:rsidP="00821E84">
      <w:pPr>
        <w:jc w:val="both"/>
        <w:rPr>
          <w:rFonts w:eastAsia="Calibri"/>
          <w:sz w:val="20"/>
          <w:szCs w:val="22"/>
          <w:lang w:val="es-ES"/>
        </w:rPr>
      </w:pPr>
      <w:r w:rsidRPr="00821E84">
        <w:rPr>
          <w:rFonts w:eastAsia="Calibri"/>
          <w:sz w:val="20"/>
          <w:szCs w:val="22"/>
          <w:lang w:val="es-ES"/>
        </w:rPr>
        <w:t>La estación de comida está constituida por platos con servilletas, comida dispuesta en bandejas, platos, etc., y elementos decorativos. No se recomienda poner papeleras porque no se debe mezclar en la misma mesa platos de comida y recipientes de desechos.</w:t>
      </w:r>
    </w:p>
    <w:p w:rsidR="00821E84" w:rsidRPr="00821E84" w:rsidRDefault="00821E84" w:rsidP="00821E84">
      <w:pPr>
        <w:jc w:val="both"/>
        <w:rPr>
          <w:rFonts w:eastAsia="Calibri"/>
          <w:sz w:val="20"/>
          <w:szCs w:val="22"/>
          <w:lang w:val="es-ES"/>
        </w:rPr>
      </w:pPr>
    </w:p>
    <w:p w:rsidR="00335B58" w:rsidRPr="00335B58" w:rsidRDefault="00335B58" w:rsidP="00335B58">
      <w:pPr>
        <w:jc w:val="both"/>
        <w:rPr>
          <w:rFonts w:eastAsia="Calibri"/>
          <w:b/>
          <w:sz w:val="20"/>
          <w:szCs w:val="22"/>
          <w:lang w:val="es-ES" w:eastAsia="en-US"/>
        </w:rPr>
      </w:pPr>
      <w:r w:rsidRPr="00335B58">
        <w:rPr>
          <w:rFonts w:eastAsia="Calibri"/>
          <w:b/>
          <w:sz w:val="20"/>
          <w:szCs w:val="22"/>
          <w:lang w:val="es-ES" w:eastAsia="en-US"/>
        </w:rPr>
        <w:t>8. Relacione las mesas con el tipo de decoración correspondiente.</w:t>
      </w:r>
    </w:p>
    <w:p w:rsidR="00335B58" w:rsidRPr="00335B58" w:rsidRDefault="00335B58" w:rsidP="00335B58">
      <w:pPr>
        <w:jc w:val="both"/>
        <w:rPr>
          <w:rFonts w:eastAsia="Calibri"/>
          <w:sz w:val="20"/>
          <w:szCs w:val="22"/>
          <w:lang w:val="es-ES" w:eastAsia="en-US"/>
        </w:rPr>
      </w:pPr>
    </w:p>
    <w:p w:rsidR="00335B58" w:rsidRPr="00335B58" w:rsidRDefault="00335B58" w:rsidP="00335B58">
      <w:pPr>
        <w:jc w:val="both"/>
        <w:rPr>
          <w:rFonts w:eastAsia="Calibri"/>
          <w:b/>
          <w:sz w:val="20"/>
          <w:szCs w:val="20"/>
          <w:lang w:val="es-ES" w:eastAsia="en-US"/>
        </w:rPr>
      </w:pPr>
      <w:r w:rsidRPr="00335B58">
        <w:rPr>
          <w:rFonts w:eastAsia="Calibri"/>
          <w:b/>
          <w:noProof/>
          <w:sz w:val="20"/>
          <w:szCs w:val="20"/>
          <w:lang w:val="es-ES"/>
        </w:rPr>
        <w:lastRenderedPageBreak/>
        <mc:AlternateContent>
          <mc:Choice Requires="wpc">
            <w:drawing>
              <wp:inline distT="0" distB="0" distL="0" distR="0" wp14:anchorId="304CD473" wp14:editId="0E7F0743">
                <wp:extent cx="5325745" cy="1833824"/>
                <wp:effectExtent l="0" t="0" r="0" b="0"/>
                <wp:docPr id="68" name="Lienzo 6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9" name="Cuadro de texto 59"/>
                        <wps:cNvSpPr txBox="1"/>
                        <wps:spPr>
                          <a:xfrm>
                            <a:off x="48384" y="242296"/>
                            <a:ext cx="1183465" cy="397845"/>
                          </a:xfrm>
                          <a:prstGeom prst="rect">
                            <a:avLst/>
                          </a:prstGeom>
                          <a:solidFill>
                            <a:sysClr val="window" lastClr="FFFFFF"/>
                          </a:solidFill>
                          <a:ln w="6350">
                            <a:solidFill>
                              <a:prstClr val="black"/>
                            </a:solidFill>
                          </a:ln>
                          <a:effectLst/>
                        </wps:spPr>
                        <wps:txbx>
                          <w:txbxContent>
                            <w:p w:rsidR="00335B58" w:rsidRPr="00335B58" w:rsidRDefault="00335B58" w:rsidP="00335B58">
                              <w:pPr>
                                <w:jc w:val="center"/>
                                <w:rPr>
                                  <w:sz w:val="16"/>
                                  <w:szCs w:val="20"/>
                                  <w:lang w:val="es-ES"/>
                                </w:rPr>
                              </w:pPr>
                              <w:r w:rsidRPr="00335B58">
                                <w:rPr>
                                  <w:sz w:val="20"/>
                                  <w:szCs w:val="20"/>
                                </w:rPr>
                                <w:t>Mesas individuales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Cuadro de texto 4"/>
                        <wps:cNvSpPr txBox="1"/>
                        <wps:spPr>
                          <a:xfrm>
                            <a:off x="38855" y="737213"/>
                            <a:ext cx="1199406" cy="349627"/>
                          </a:xfrm>
                          <a:prstGeom prst="rect">
                            <a:avLst/>
                          </a:prstGeom>
                          <a:solidFill>
                            <a:sysClr val="window" lastClr="FFFFFF"/>
                          </a:solidFill>
                          <a:ln w="6350">
                            <a:solidFill>
                              <a:prstClr val="black"/>
                            </a:solidFill>
                          </a:ln>
                          <a:effectLst/>
                        </wps:spPr>
                        <wps:txbx>
                          <w:txbxContent>
                            <w:p w:rsidR="00335B58" w:rsidRDefault="00335B58" w:rsidP="00335B58">
                              <w:pPr>
                                <w:pStyle w:val="NormalWeb"/>
                                <w:jc w:val="center"/>
                              </w:pPr>
                              <w:r>
                                <w:rPr>
                                  <w:rFonts w:eastAsia="Calibri"/>
                                  <w:sz w:val="20"/>
                                  <w:szCs w:val="20"/>
                                </w:rPr>
                                <w:t>Mesas de banquete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Cuadro de texto 4"/>
                        <wps:cNvSpPr txBox="1"/>
                        <wps:spPr>
                          <a:xfrm>
                            <a:off x="48384" y="1216482"/>
                            <a:ext cx="1181595" cy="371157"/>
                          </a:xfrm>
                          <a:prstGeom prst="rect">
                            <a:avLst/>
                          </a:prstGeom>
                          <a:solidFill>
                            <a:sysClr val="window" lastClr="FFFFFF"/>
                          </a:solidFill>
                          <a:ln w="6350">
                            <a:solidFill>
                              <a:prstClr val="black"/>
                            </a:solidFill>
                          </a:ln>
                          <a:effectLst/>
                        </wps:spPr>
                        <wps:txbx>
                          <w:txbxContent>
                            <w:p w:rsidR="00335B58" w:rsidRPr="00B804E0" w:rsidRDefault="00335B58" w:rsidP="00527680">
                              <w:pPr>
                                <w:pStyle w:val="NormalWeb"/>
                                <w:rPr>
                                  <w:sz w:val="20"/>
                                </w:rPr>
                              </w:pPr>
                              <w:r w:rsidRPr="00B804E0">
                                <w:rPr>
                                  <w:sz w:val="20"/>
                                </w:rPr>
                                <w:t>Mesa</w:t>
                              </w:r>
                              <w:r w:rsidR="00527680">
                                <w:rPr>
                                  <w:sz w:val="20"/>
                                </w:rPr>
                                <w:t>s</w:t>
                              </w:r>
                              <w:r w:rsidRPr="00B804E0">
                                <w:rPr>
                                  <w:sz w:val="20"/>
                                </w:rPr>
                                <w:t xml:space="preserve"> especiales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Cuadro de texto 62"/>
                        <wps:cNvSpPr txBox="1"/>
                        <wps:spPr>
                          <a:xfrm>
                            <a:off x="2045127" y="30598"/>
                            <a:ext cx="3176650" cy="564078"/>
                          </a:xfrm>
                          <a:prstGeom prst="rect">
                            <a:avLst/>
                          </a:prstGeom>
                          <a:solidFill>
                            <a:sysClr val="window" lastClr="FFFFFF"/>
                          </a:solidFill>
                          <a:ln w="6350">
                            <a:solidFill>
                              <a:prstClr val="black"/>
                            </a:solidFill>
                          </a:ln>
                          <a:effectLst/>
                        </wps:spPr>
                        <wps:txbx>
                          <w:txbxContent>
                            <w:p w:rsidR="00335B58" w:rsidRPr="005D334A" w:rsidRDefault="00335B58" w:rsidP="00335B58">
                              <w:pPr>
                                <w:rPr>
                                  <w:lang w:val="es-ES"/>
                                </w:rPr>
                              </w:pPr>
                              <w:r w:rsidRPr="00335B58">
                                <w:rPr>
                                  <w:sz w:val="20"/>
                                </w:rPr>
                                <w:t>Centro de mesa de mayor tamaño en la presidencia y de menor tamaño en las restantes mesas, pero todos ellos deben tener los mismos materiales y calidad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Cuadro de texto 8"/>
                        <wps:cNvSpPr txBox="1"/>
                        <wps:spPr>
                          <a:xfrm>
                            <a:off x="2045127" y="691967"/>
                            <a:ext cx="3176650" cy="429018"/>
                          </a:xfrm>
                          <a:prstGeom prst="rect">
                            <a:avLst/>
                          </a:prstGeom>
                          <a:solidFill>
                            <a:sysClr val="window" lastClr="FFFFFF"/>
                          </a:solidFill>
                          <a:ln w="6350">
                            <a:solidFill>
                              <a:prstClr val="black"/>
                            </a:solidFill>
                          </a:ln>
                          <a:effectLst/>
                        </wps:spPr>
                        <wps:txbx>
                          <w:txbxContent>
                            <w:p w:rsidR="00335B58" w:rsidRPr="00B804E0" w:rsidRDefault="00335B58" w:rsidP="00335B58">
                              <w:pPr>
                                <w:pStyle w:val="BOLILLO"/>
                                <w:ind w:left="0" w:firstLine="0"/>
                                <w:rPr>
                                  <w:szCs w:val="20"/>
                                </w:rPr>
                              </w:pPr>
                              <w:r>
                                <w:t>Violeteros o floreros pequeños con alguna flor y un elemento verde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 name="Cuadro de texto 8"/>
                        <wps:cNvSpPr txBox="1"/>
                        <wps:spPr>
                          <a:xfrm>
                            <a:off x="2045128" y="1268359"/>
                            <a:ext cx="3176650" cy="535253"/>
                          </a:xfrm>
                          <a:prstGeom prst="rect">
                            <a:avLst/>
                          </a:prstGeom>
                          <a:solidFill>
                            <a:sysClr val="window" lastClr="FFFFFF"/>
                          </a:solidFill>
                          <a:ln w="6350">
                            <a:solidFill>
                              <a:prstClr val="black"/>
                            </a:solidFill>
                          </a:ln>
                          <a:effectLst/>
                        </wps:spPr>
                        <wps:txbx>
                          <w:txbxContent>
                            <w:p w:rsidR="00335B58" w:rsidRPr="00B4461C" w:rsidRDefault="00335B58" w:rsidP="00335B58">
                              <w:pPr>
                                <w:pStyle w:val="BOLILLO"/>
                                <w:ind w:left="0" w:firstLine="0"/>
                                <w:rPr>
                                  <w:szCs w:val="20"/>
                                </w:rPr>
                              </w:pPr>
                              <w:r>
                                <w:rPr>
                                  <w:szCs w:val="20"/>
                                </w:rPr>
                                <w:t>Centro de mesa circular para mesas redondas, en forma de estrella para mesas cuadradas y alargados en el caso de las mesas rectangulares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Conector recto de flecha 65"/>
                        <wps:cNvCnPr>
                          <a:stCxn id="59" idx="3"/>
                        </wps:cNvCnPr>
                        <wps:spPr>
                          <a:xfrm>
                            <a:off x="1231849" y="441079"/>
                            <a:ext cx="813460" cy="526148"/>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66" name="Conector recto de flecha 66"/>
                        <wps:cNvCnPr>
                          <a:stCxn id="60" idx="3"/>
                          <a:endCxn id="64" idx="1"/>
                        </wps:cNvCnPr>
                        <wps:spPr>
                          <a:xfrm>
                            <a:off x="1238261" y="911739"/>
                            <a:ext cx="806867" cy="623762"/>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67" name="Conector recto de flecha 67"/>
                        <wps:cNvCnPr>
                          <a:endCxn id="62" idx="1"/>
                        </wps:cNvCnPr>
                        <wps:spPr>
                          <a:xfrm flipV="1">
                            <a:off x="1238261" y="312618"/>
                            <a:ext cx="806866" cy="1076107"/>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c:wpc>
                  </a:graphicData>
                </a:graphic>
              </wp:inline>
            </w:drawing>
          </mc:Choice>
          <mc:Fallback>
            <w:pict>
              <v:group w14:anchorId="304CD473" id="Lienzo 68" o:spid="_x0000_s1026" editas="canvas" style="width:419.35pt;height:144.4pt;mso-position-horizontal-relative:char;mso-position-vertical-relative:line" coordsize="53257,1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57;height:18332;visibility:visible;mso-wrap-style:square">
                  <v:fill o:detectmouseclick="t"/>
                  <v:path o:connecttype="none"/>
                </v:shape>
                <v:shapetype id="_x0000_t202" coordsize="21600,21600" o:spt="202" path="m,l,21600r21600,l21600,xe">
                  <v:stroke joinstyle="miter"/>
                  <v:path gradientshapeok="t" o:connecttype="rect"/>
                </v:shapetype>
                <v:shape id="Cuadro de texto 59" o:spid="_x0000_s1028" type="#_x0000_t202" style="position:absolute;left:483;top:2422;width:11835;height:39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g7cQA&#10;AADbAAAADwAAAGRycy9kb3ducmV2LnhtbESPQWvCQBSE74X+h+UVvOlGpVZTVxFBUPFSU3p+ZF+z&#10;wezbmF1j6q93BaHHYWa+YebLzlaipcaXjhUMBwkI4tzpkgsF39mmPwXhA7LGyjEp+CMPy8XryxxT&#10;7a78Re0xFCJC2KeowIRQp1L63JBFP3A1cfR+XWMxRNkUUjd4jXBbyVGSTKTFkuOCwZrWhvLT8WIV&#10;fASzn9261c6PDm2W7X6m5/HYK9V761afIAJ14T/8bG+1gvcZPL7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JoO3EAAAA2wAAAA8AAAAAAAAAAAAAAAAAmAIAAGRycy9k&#10;b3ducmV2LnhtbFBLBQYAAAAABAAEAPUAAACJAwAAAAA=&#10;" fillcolor="window" strokeweight=".5pt">
                  <v:textbox>
                    <w:txbxContent>
                      <w:p w:rsidR="00335B58" w:rsidRPr="00335B58" w:rsidRDefault="00335B58" w:rsidP="00335B58">
                        <w:pPr>
                          <w:jc w:val="center"/>
                          <w:rPr>
                            <w:sz w:val="16"/>
                            <w:szCs w:val="20"/>
                            <w:lang w:val="es-ES"/>
                          </w:rPr>
                        </w:pPr>
                        <w:r w:rsidRPr="00335B58">
                          <w:rPr>
                            <w:sz w:val="20"/>
                            <w:szCs w:val="20"/>
                          </w:rPr>
                          <w:t>Mesas individuales</w:t>
                        </w:r>
                      </w:p>
                    </w:txbxContent>
                  </v:textbox>
                </v:shape>
                <v:shape id="Cuadro de texto 4" o:spid="_x0000_s1029" type="#_x0000_t202" style="position:absolute;left:388;top:7372;width:11994;height:34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DzcAA&#10;AADbAAAADwAAAGRycy9kb3ducmV2LnhtbERPTYvCMBC9L/gfwgje1lQFV6tRRBB08bJWPA/N2BSb&#10;SW1irfvrzWFhj4/3vVx3thItNb50rGA0TEAQ506XXCg4Z7vPGQgfkDVWjknBizysV72PJabaPfmH&#10;2lMoRAxhn6ICE0KdSulzQxb90NXEkbu6xmKIsCmkbvAZw20lx0kylRZLjg0Ga9oaym+nh1XwFcz3&#10;/LfbHPz42GbZ4TK7TyZeqUG/2yxABOrCv/jPvdcKpnF9/BJ/gF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DzcAAAADbAAAADwAAAAAAAAAAAAAAAACYAgAAZHJzL2Rvd25y&#10;ZXYueG1sUEsFBgAAAAAEAAQA9QAAAIUDAAAAAA==&#10;" fillcolor="window" strokeweight=".5pt">
                  <v:textbox>
                    <w:txbxContent>
                      <w:p w:rsidR="00335B58" w:rsidRDefault="00335B58" w:rsidP="00335B58">
                        <w:pPr>
                          <w:pStyle w:val="NormalWeb"/>
                          <w:jc w:val="center"/>
                        </w:pPr>
                        <w:r>
                          <w:rPr>
                            <w:rFonts w:eastAsia="Calibri"/>
                            <w:sz w:val="20"/>
                            <w:szCs w:val="20"/>
                          </w:rPr>
                          <w:t>Mesas de banquete</w:t>
                        </w:r>
                      </w:p>
                    </w:txbxContent>
                  </v:textbox>
                </v:shape>
                <v:shape id="Cuadro de texto 4" o:spid="_x0000_s1030" type="#_x0000_t202" style="position:absolute;left:483;top:12164;width:11816;height:37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mVsQA&#10;AADbAAAADwAAAGRycy9kb3ducmV2LnhtbESPQWvCQBSE70L/w/IK3nSjgqapq0ihoOJFIz0/sq/Z&#10;0OzbNLvG6K93CwWPw8x8wyzXva1FR62vHCuYjBMQxIXTFZcKzvnnKAXhA7LG2jEpuJGH9eplsMRM&#10;uysfqTuFUkQI+wwVmBCaTEpfGLLox64hjt63ay2GKNtS6havEW5rOU2SubRYcVww2NCHoeLndLEK&#10;FsHs3+79Zuenhy7Pd1/p72zmlRq+9pt3EIH68Az/t7dawXwCf1/i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TZlbEAAAA2wAAAA8AAAAAAAAAAAAAAAAAmAIAAGRycy9k&#10;b3ducmV2LnhtbFBLBQYAAAAABAAEAPUAAACJAwAAAAA=&#10;" fillcolor="window" strokeweight=".5pt">
                  <v:textbox>
                    <w:txbxContent>
                      <w:p w:rsidR="00335B58" w:rsidRPr="00B804E0" w:rsidRDefault="00335B58" w:rsidP="00527680">
                        <w:pPr>
                          <w:pStyle w:val="NormalWeb"/>
                          <w:rPr>
                            <w:sz w:val="20"/>
                          </w:rPr>
                        </w:pPr>
                        <w:r w:rsidRPr="00B804E0">
                          <w:rPr>
                            <w:sz w:val="20"/>
                          </w:rPr>
                          <w:t>Mesa</w:t>
                        </w:r>
                        <w:r w:rsidR="00527680">
                          <w:rPr>
                            <w:sz w:val="20"/>
                          </w:rPr>
                          <w:t>s</w:t>
                        </w:r>
                        <w:r w:rsidRPr="00B804E0">
                          <w:rPr>
                            <w:sz w:val="20"/>
                          </w:rPr>
                          <w:t xml:space="preserve"> especiales</w:t>
                        </w:r>
                      </w:p>
                    </w:txbxContent>
                  </v:textbox>
                </v:shape>
                <v:shape id="Cuadro de texto 62" o:spid="_x0000_s1031" type="#_x0000_t202" style="position:absolute;left:20451;top:305;width:31766;height:5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H4IcMA&#10;AADbAAAADwAAAGRycy9kb3ducmV2LnhtbESPQWvCQBSE74L/YXmCN90YQW3qKlIo1OJFU3p+ZJ/Z&#10;YPZtzG5j7K93CwWPw8x8w6y3va1FR62vHCuYTRMQxIXTFZcKvvL3yQqED8gaa8ek4E4etpvhYI2Z&#10;djc+UncKpYgQ9hkqMCE0mZS+MGTRT11DHL2zay2GKNtS6hZvEW5rmSbJQlqsOC4YbOjNUHE5/VgF&#10;y2A+X3773d6nhy7P99+r63zulRqP+t0riEB9eIb/2x9awSKFvy/xB8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H4IcMAAADbAAAADwAAAAAAAAAAAAAAAACYAgAAZHJzL2Rv&#10;d25yZXYueG1sUEsFBgAAAAAEAAQA9QAAAIgDAAAAAA==&#10;" fillcolor="window" strokeweight=".5pt">
                  <v:textbox>
                    <w:txbxContent>
                      <w:p w:rsidR="00335B58" w:rsidRPr="005D334A" w:rsidRDefault="00335B58" w:rsidP="00335B58">
                        <w:pPr>
                          <w:rPr>
                            <w:lang w:val="es-ES"/>
                          </w:rPr>
                        </w:pPr>
                        <w:r w:rsidRPr="00335B58">
                          <w:rPr>
                            <w:sz w:val="20"/>
                          </w:rPr>
                          <w:t>Centro de mesa de mayor tamaño en la presidencia y de menor tamaño en las restantes mesas, pero todos ellos deben tener los mismos materiales y calidad</w:t>
                        </w:r>
                      </w:p>
                    </w:txbxContent>
                  </v:textbox>
                </v:shape>
                <v:shape id="Cuadro de texto 8" o:spid="_x0000_s1032" type="#_x0000_t202" style="position:absolute;left:20451;top:6919;width:31766;height:4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1dusQA&#10;AADbAAAADwAAAGRycy9kb3ducmV2LnhtbESPQWvCQBSE74L/YXlCb7rRgLVpNiKFQi291JSeH9ln&#10;Nph9G7PbmPbXdwXB4zAz3zD5drStGKj3jWMFy0UCgrhyuuFawVf5Ot+A8AFZY+uYFPySh20xneSY&#10;aXfhTxoOoRYRwj5DBSaELpPSV4Ys+oXriKN3dL3FEGVfS93jJcJtK1dJspYWG44LBjt6MVSdDj9W&#10;wWMw709/427vVx9DWe6/N+c09Uo9zMbdM4hAY7iHb+03rWCdwvVL/AG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NXbrEAAAA2wAAAA8AAAAAAAAAAAAAAAAAmAIAAGRycy9k&#10;b3ducmV2LnhtbFBLBQYAAAAABAAEAPUAAACJAwAAAAA=&#10;" fillcolor="window" strokeweight=".5pt">
                  <v:textbox>
                    <w:txbxContent>
                      <w:p w:rsidR="00335B58" w:rsidRPr="00B804E0" w:rsidRDefault="00335B58" w:rsidP="00335B58">
                        <w:pPr>
                          <w:pStyle w:val="BOLILLO"/>
                          <w:ind w:left="0" w:firstLine="0"/>
                          <w:rPr>
                            <w:szCs w:val="20"/>
                          </w:rPr>
                        </w:pPr>
                        <w:r>
                          <w:t>Violeteros o floreros pequeños con alguna flor y un elemento verde</w:t>
                        </w:r>
                      </w:p>
                    </w:txbxContent>
                  </v:textbox>
                </v:shape>
                <v:shape id="Cuadro de texto 8" o:spid="_x0000_s1033" type="#_x0000_t202" style="position:absolute;left:20451;top:12683;width:31766;height:5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TFzsQA&#10;AADbAAAADwAAAGRycy9kb3ducmV2LnhtbESPQWvCQBSE70L/w/IK3uqmKlZTN0EKQi1easTzI/vM&#10;hmbfptltTP31XaHgcZiZb5h1PthG9NT52rGC50kCgrh0uuZKwbHYPi1B+ICssXFMCn7JQ549jNaY&#10;anfhT+oPoRIRwj5FBSaENpXSl4Ys+olriaN3dp3FEGVXSd3hJcJtI6dJspAWa44LBlt6M1R+HX6s&#10;gpdgPlbXYbPz031fFLvT8ns280qNH4fNK4hAQ7iH/9vvWsFiDrcv8Q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kxc7EAAAA2wAAAA8AAAAAAAAAAAAAAAAAmAIAAGRycy9k&#10;b3ducmV2LnhtbFBLBQYAAAAABAAEAPUAAACJAwAAAAA=&#10;" fillcolor="window" strokeweight=".5pt">
                  <v:textbox>
                    <w:txbxContent>
                      <w:p w:rsidR="00335B58" w:rsidRPr="00B4461C" w:rsidRDefault="00335B58" w:rsidP="00335B58">
                        <w:pPr>
                          <w:pStyle w:val="BOLILLO"/>
                          <w:ind w:left="0" w:firstLine="0"/>
                          <w:rPr>
                            <w:szCs w:val="20"/>
                          </w:rPr>
                        </w:pPr>
                        <w:r>
                          <w:rPr>
                            <w:szCs w:val="20"/>
                          </w:rPr>
                          <w:t>Centro de mesa circular para mesas redondas, en forma de estrella para mesas cuadradas y alargados en el caso de las mesas rectangulares</w:t>
                        </w:r>
                      </w:p>
                    </w:txbxContent>
                  </v:textbox>
                </v:shape>
                <v:shapetype id="_x0000_t32" coordsize="21600,21600" o:spt="32" o:oned="t" path="m,l21600,21600e" filled="f">
                  <v:path arrowok="t" fillok="f" o:connecttype="none"/>
                  <o:lock v:ext="edit" shapetype="t"/>
                </v:shapetype>
                <v:shape id="Conector recto de flecha 65" o:spid="_x0000_s1034" type="#_x0000_t32" style="position:absolute;left:12318;top:4410;width:8135;height:52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shape id="Conector recto de flecha 66" o:spid="_x0000_s1035" type="#_x0000_t32" style="position:absolute;left:12382;top:9117;width:8069;height:6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Km68UAAADbAAAADwAAAGRycy9kb3ducmV2LnhtbESPT2vCQBTE7wW/w/IEb83GHkKNrlIE&#10;i1h68A/B3h7Z1yQ0+zbsrhr76V1B8DjMzG+Y2aI3rTiT841lBeMkBUFcWt1wpeCwX72+g/ABWWNr&#10;mRRcycNiPniZYa7thbd03oVKRAj7HBXUIXS5lL6syaBPbEccvV/rDIYoXSW1w0uEm1a+pWkmDTYc&#10;F2rsaFlT+bc7GQXHr8mpuBbftCnGk80POuP/959KjYb9xxREoD48w4/2WivIMr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Km68UAAADbAAAADwAAAAAAAAAA&#10;AAAAAAChAgAAZHJzL2Rvd25yZXYueG1sUEsFBgAAAAAEAAQA+QAAAJMDAAAAAA==&#10;">
                  <v:stroke endarrow="block"/>
                </v:shape>
                <v:shape id="Conector recto de flecha 67" o:spid="_x0000_s1036" type="#_x0000_t32" style="position:absolute;left:12382;top:3126;width:8069;height:107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7UsIAAADbAAAADwAAAGRycy9kb3ducmV2LnhtbESPQWsCMRSE74L/ITyhN81WqMpqlCoI&#10;0kupCnp8bJ67wc3Lsomb9d83hYLHYWa+YVab3taio9YbxwreJxkI4sJpw6WC82k/XoDwAVlj7ZgU&#10;PMnDZj0crDDXLvIPdcdQigRhn6OCKoQml9IXFVn0E9cQJ+/mWoshybaUusWY4LaW0yybSYuG00KF&#10;De0qKu7Hh1Vg4rfpmsMubr8uV68jmeeHM0q9jfrPJYhAfXiF/9sHrWA2h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X7UsIAAADbAAAADwAAAAAAAAAAAAAA&#10;AAChAgAAZHJzL2Rvd25yZXYueG1sUEsFBgAAAAAEAAQA+QAAAJADAAAAAA==&#10;">
                  <v:stroke endarrow="block"/>
                </v:shape>
                <w10:anchorlock/>
              </v:group>
            </w:pict>
          </mc:Fallback>
        </mc:AlternateContent>
      </w:r>
    </w:p>
    <w:p w:rsidR="00335B58" w:rsidRDefault="00335B58" w:rsidP="00335B58">
      <w:pPr>
        <w:jc w:val="both"/>
        <w:rPr>
          <w:rFonts w:eastAsia="Calibri"/>
          <w:sz w:val="20"/>
          <w:szCs w:val="22"/>
          <w:lang w:val="es-ES" w:eastAsia="en-US"/>
        </w:rPr>
      </w:pPr>
    </w:p>
    <w:p w:rsidR="00335B58" w:rsidRPr="00335B58" w:rsidRDefault="00335B58" w:rsidP="001240FD">
      <w:pPr>
        <w:jc w:val="both"/>
        <w:rPr>
          <w:sz w:val="20"/>
          <w:szCs w:val="20"/>
        </w:rPr>
      </w:pPr>
      <w:r w:rsidRPr="00335B58">
        <w:rPr>
          <w:rFonts w:eastAsia="Calibri"/>
          <w:b/>
          <w:sz w:val="20"/>
          <w:szCs w:val="22"/>
          <w:lang w:val="es-ES" w:eastAsia="en-US"/>
        </w:rPr>
        <w:t xml:space="preserve">9. </w:t>
      </w:r>
      <w:r w:rsidR="001240FD">
        <w:rPr>
          <w:rFonts w:eastAsia="Calibri"/>
          <w:b/>
          <w:sz w:val="20"/>
          <w:szCs w:val="22"/>
          <w:lang w:val="es-ES" w:eastAsia="en-US"/>
        </w:rPr>
        <w:t>¿Qué estilo y qué elementos decorativos serían más adecuados para una celebración de carácter empresarial? Justifi</w:t>
      </w:r>
      <w:r w:rsidR="00527680">
        <w:rPr>
          <w:rFonts w:eastAsia="Calibri"/>
          <w:b/>
          <w:sz w:val="20"/>
          <w:szCs w:val="22"/>
          <w:lang w:val="es-ES" w:eastAsia="en-US"/>
        </w:rPr>
        <w:t>que la</w:t>
      </w:r>
      <w:r w:rsidR="001240FD">
        <w:rPr>
          <w:rFonts w:eastAsia="Calibri"/>
          <w:b/>
          <w:sz w:val="20"/>
          <w:szCs w:val="22"/>
          <w:lang w:val="es-ES" w:eastAsia="en-US"/>
        </w:rPr>
        <w:t xml:space="preserve"> respuesta.</w:t>
      </w:r>
    </w:p>
    <w:p w:rsidR="0032259E" w:rsidRDefault="0032259E" w:rsidP="001240FD">
      <w:pPr>
        <w:tabs>
          <w:tab w:val="left" w:pos="170"/>
        </w:tabs>
        <w:jc w:val="both"/>
        <w:rPr>
          <w:sz w:val="20"/>
          <w:szCs w:val="20"/>
        </w:rPr>
      </w:pPr>
    </w:p>
    <w:p w:rsidR="00837094" w:rsidRDefault="001240FD" w:rsidP="001240FD">
      <w:pPr>
        <w:tabs>
          <w:tab w:val="left" w:pos="170"/>
        </w:tabs>
        <w:jc w:val="both"/>
        <w:rPr>
          <w:sz w:val="20"/>
          <w:szCs w:val="20"/>
        </w:rPr>
      </w:pPr>
      <w:r>
        <w:rPr>
          <w:sz w:val="20"/>
          <w:szCs w:val="20"/>
        </w:rPr>
        <w:t>Las celebraciones de carácter empresarial tienen un nivel de formalidad elevado, por lo que es más adecuado un estilo decorativo minimalista o nórdico, que se caracteri</w:t>
      </w:r>
      <w:r w:rsidR="00837094">
        <w:rPr>
          <w:sz w:val="20"/>
          <w:szCs w:val="20"/>
        </w:rPr>
        <w:t>ce por ser sencillo y discreto.</w:t>
      </w:r>
    </w:p>
    <w:p w:rsidR="00837094" w:rsidRDefault="00837094" w:rsidP="001240FD">
      <w:pPr>
        <w:tabs>
          <w:tab w:val="left" w:pos="170"/>
        </w:tabs>
        <w:jc w:val="both"/>
        <w:rPr>
          <w:sz w:val="20"/>
          <w:szCs w:val="20"/>
        </w:rPr>
      </w:pPr>
    </w:p>
    <w:p w:rsidR="001240FD" w:rsidRPr="00335B58" w:rsidRDefault="00837094" w:rsidP="001240FD">
      <w:pPr>
        <w:tabs>
          <w:tab w:val="left" w:pos="170"/>
        </w:tabs>
        <w:jc w:val="both"/>
        <w:rPr>
          <w:sz w:val="20"/>
          <w:szCs w:val="20"/>
        </w:rPr>
      </w:pPr>
      <w:r>
        <w:rPr>
          <w:sz w:val="20"/>
          <w:szCs w:val="20"/>
        </w:rPr>
        <w:t xml:space="preserve">En cuanto a los elementos decorativos, hay que tener en cuenta que las mesas de trabajo no se decoran, pues tienen que estar despejadas para no entorpecer a los profesionales. En las mesas en las que se dispongan las bebidas y la comida, </w:t>
      </w:r>
      <w:r w:rsidR="001240FD">
        <w:rPr>
          <w:sz w:val="20"/>
          <w:szCs w:val="20"/>
        </w:rPr>
        <w:t>se escogerán elementos decorativos sobrios</w:t>
      </w:r>
      <w:r>
        <w:rPr>
          <w:sz w:val="20"/>
          <w:szCs w:val="20"/>
        </w:rPr>
        <w:t xml:space="preserve"> que no llamen la atención y que estén en consonancia con el carácter formal del evento.</w:t>
      </w:r>
    </w:p>
    <w:sectPr w:rsidR="001240FD" w:rsidRPr="00335B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79628C"/>
    <w:multiLevelType w:val="hybridMultilevel"/>
    <w:tmpl w:val="E7762BF0"/>
    <w:lvl w:ilvl="0" w:tplc="E4508FCC">
      <w:start w:val="1"/>
      <w:numFmt w:val="bullet"/>
      <w:lvlText w:val="•"/>
      <w:lvlJc w:val="left"/>
      <w:pPr>
        <w:tabs>
          <w:tab w:val="num" w:pos="720"/>
        </w:tabs>
        <w:ind w:left="720" w:hanging="360"/>
      </w:pPr>
      <w:rPr>
        <w:rFonts w:ascii="Times New Roman" w:hAnsi="Times New Roman" w:hint="default"/>
      </w:rPr>
    </w:lvl>
    <w:lvl w:ilvl="1" w:tplc="0FE0594C" w:tentative="1">
      <w:start w:val="1"/>
      <w:numFmt w:val="bullet"/>
      <w:lvlText w:val="•"/>
      <w:lvlJc w:val="left"/>
      <w:pPr>
        <w:tabs>
          <w:tab w:val="num" w:pos="1440"/>
        </w:tabs>
        <w:ind w:left="1440" w:hanging="360"/>
      </w:pPr>
      <w:rPr>
        <w:rFonts w:ascii="Times New Roman" w:hAnsi="Times New Roman" w:hint="default"/>
      </w:rPr>
    </w:lvl>
    <w:lvl w:ilvl="2" w:tplc="2CB8DB4C" w:tentative="1">
      <w:start w:val="1"/>
      <w:numFmt w:val="bullet"/>
      <w:lvlText w:val="•"/>
      <w:lvlJc w:val="left"/>
      <w:pPr>
        <w:tabs>
          <w:tab w:val="num" w:pos="2160"/>
        </w:tabs>
        <w:ind w:left="2160" w:hanging="360"/>
      </w:pPr>
      <w:rPr>
        <w:rFonts w:ascii="Times New Roman" w:hAnsi="Times New Roman" w:hint="default"/>
      </w:rPr>
    </w:lvl>
    <w:lvl w:ilvl="3" w:tplc="7FCA0E36" w:tentative="1">
      <w:start w:val="1"/>
      <w:numFmt w:val="bullet"/>
      <w:lvlText w:val="•"/>
      <w:lvlJc w:val="left"/>
      <w:pPr>
        <w:tabs>
          <w:tab w:val="num" w:pos="2880"/>
        </w:tabs>
        <w:ind w:left="2880" w:hanging="360"/>
      </w:pPr>
      <w:rPr>
        <w:rFonts w:ascii="Times New Roman" w:hAnsi="Times New Roman" w:hint="default"/>
      </w:rPr>
    </w:lvl>
    <w:lvl w:ilvl="4" w:tplc="6FAE068A" w:tentative="1">
      <w:start w:val="1"/>
      <w:numFmt w:val="bullet"/>
      <w:lvlText w:val="•"/>
      <w:lvlJc w:val="left"/>
      <w:pPr>
        <w:tabs>
          <w:tab w:val="num" w:pos="3600"/>
        </w:tabs>
        <w:ind w:left="3600" w:hanging="360"/>
      </w:pPr>
      <w:rPr>
        <w:rFonts w:ascii="Times New Roman" w:hAnsi="Times New Roman" w:hint="default"/>
      </w:rPr>
    </w:lvl>
    <w:lvl w:ilvl="5" w:tplc="5364A91E" w:tentative="1">
      <w:start w:val="1"/>
      <w:numFmt w:val="bullet"/>
      <w:lvlText w:val="•"/>
      <w:lvlJc w:val="left"/>
      <w:pPr>
        <w:tabs>
          <w:tab w:val="num" w:pos="4320"/>
        </w:tabs>
        <w:ind w:left="4320" w:hanging="360"/>
      </w:pPr>
      <w:rPr>
        <w:rFonts w:ascii="Times New Roman" w:hAnsi="Times New Roman" w:hint="default"/>
      </w:rPr>
    </w:lvl>
    <w:lvl w:ilvl="6" w:tplc="5E9ABD50" w:tentative="1">
      <w:start w:val="1"/>
      <w:numFmt w:val="bullet"/>
      <w:lvlText w:val="•"/>
      <w:lvlJc w:val="left"/>
      <w:pPr>
        <w:tabs>
          <w:tab w:val="num" w:pos="5040"/>
        </w:tabs>
        <w:ind w:left="5040" w:hanging="360"/>
      </w:pPr>
      <w:rPr>
        <w:rFonts w:ascii="Times New Roman" w:hAnsi="Times New Roman" w:hint="default"/>
      </w:rPr>
    </w:lvl>
    <w:lvl w:ilvl="7" w:tplc="3524FA4A" w:tentative="1">
      <w:start w:val="1"/>
      <w:numFmt w:val="bullet"/>
      <w:lvlText w:val="•"/>
      <w:lvlJc w:val="left"/>
      <w:pPr>
        <w:tabs>
          <w:tab w:val="num" w:pos="5760"/>
        </w:tabs>
        <w:ind w:left="5760" w:hanging="360"/>
      </w:pPr>
      <w:rPr>
        <w:rFonts w:ascii="Times New Roman" w:hAnsi="Times New Roman" w:hint="default"/>
      </w:rPr>
    </w:lvl>
    <w:lvl w:ilvl="8" w:tplc="97CACC2E"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772"/>
    <w:rsid w:val="00054085"/>
    <w:rsid w:val="001240FD"/>
    <w:rsid w:val="00152226"/>
    <w:rsid w:val="001C585A"/>
    <w:rsid w:val="001F1F0F"/>
    <w:rsid w:val="00231A1E"/>
    <w:rsid w:val="0024067C"/>
    <w:rsid w:val="00321772"/>
    <w:rsid w:val="0032259E"/>
    <w:rsid w:val="00335B58"/>
    <w:rsid w:val="00405DCF"/>
    <w:rsid w:val="004527F9"/>
    <w:rsid w:val="004A46D8"/>
    <w:rsid w:val="00500686"/>
    <w:rsid w:val="00515132"/>
    <w:rsid w:val="00527680"/>
    <w:rsid w:val="00667BB5"/>
    <w:rsid w:val="00703CE8"/>
    <w:rsid w:val="007C0D85"/>
    <w:rsid w:val="0082111F"/>
    <w:rsid w:val="00821E84"/>
    <w:rsid w:val="00837094"/>
    <w:rsid w:val="00952569"/>
    <w:rsid w:val="00986489"/>
    <w:rsid w:val="009F5A1D"/>
    <w:rsid w:val="00A1008E"/>
    <w:rsid w:val="00BA6A98"/>
    <w:rsid w:val="00BB43E6"/>
    <w:rsid w:val="00C8727B"/>
    <w:rsid w:val="00CB4374"/>
    <w:rsid w:val="00D2314F"/>
    <w:rsid w:val="00D2525A"/>
    <w:rsid w:val="00D43D58"/>
    <w:rsid w:val="00D7034C"/>
    <w:rsid w:val="00D806B3"/>
    <w:rsid w:val="00DC0449"/>
    <w:rsid w:val="00DD3CB7"/>
    <w:rsid w:val="00E07912"/>
    <w:rsid w:val="00ED65A1"/>
    <w:rsid w:val="00F13461"/>
    <w:rsid w:val="00F51427"/>
    <w:rsid w:val="00F53132"/>
    <w:rsid w:val="00F547C3"/>
    <w:rsid w:val="00FD57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619D6-315D-43B6-BD08-4A4C19F8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772"/>
    <w:pPr>
      <w:spacing w:after="0" w:line="240" w:lineRule="auto"/>
    </w:pPr>
    <w:rPr>
      <w:rFonts w:ascii="Times New Roman" w:eastAsia="Times New Roman" w:hAnsi="Times New Roman" w:cs="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21772"/>
    <w:pPr>
      <w:spacing w:after="0" w:line="240" w:lineRule="auto"/>
    </w:pPr>
    <w:rPr>
      <w:rFonts w:ascii="Cambria" w:eastAsia="MS Mincho" w:hAnsi="Cambria"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1427"/>
    <w:pPr>
      <w:autoSpaceDE w:val="0"/>
      <w:autoSpaceDN w:val="0"/>
      <w:adjustRightInd w:val="0"/>
      <w:spacing w:after="0" w:line="240" w:lineRule="auto"/>
    </w:pPr>
    <w:rPr>
      <w:rFonts w:ascii="Arial" w:hAnsi="Arial" w:cs="Arial"/>
      <w:color w:val="000000"/>
      <w:sz w:val="24"/>
      <w:szCs w:val="24"/>
      <w:lang w:val="es-ES_tradnl"/>
    </w:rPr>
  </w:style>
  <w:style w:type="table" w:customStyle="1" w:styleId="Tablaconcuadrcula3">
    <w:name w:val="Tabla con cuadrícula3"/>
    <w:basedOn w:val="Tablanormal"/>
    <w:next w:val="Tablaconcuadrcula"/>
    <w:uiPriority w:val="59"/>
    <w:rsid w:val="0032259E"/>
    <w:pPr>
      <w:spacing w:after="0" w:line="240" w:lineRule="auto"/>
      <w:jc w:val="both"/>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LILLO">
    <w:name w:val="BOLILLO"/>
    <w:basedOn w:val="Normal"/>
    <w:link w:val="BOLILLOCar"/>
    <w:qFormat/>
    <w:rsid w:val="0032259E"/>
    <w:pPr>
      <w:tabs>
        <w:tab w:val="left" w:pos="170"/>
      </w:tabs>
      <w:ind w:left="164" w:hanging="164"/>
      <w:jc w:val="both"/>
    </w:pPr>
    <w:rPr>
      <w:rFonts w:eastAsia="Calibri"/>
      <w:sz w:val="20"/>
      <w:szCs w:val="22"/>
      <w:lang w:val="es-ES" w:eastAsia="en-US"/>
    </w:rPr>
  </w:style>
  <w:style w:type="character" w:customStyle="1" w:styleId="BOLILLOCar">
    <w:name w:val="BOLILLO Car"/>
    <w:link w:val="BOLILLO"/>
    <w:rsid w:val="0032259E"/>
    <w:rPr>
      <w:rFonts w:ascii="Times New Roman" w:eastAsia="Calibri" w:hAnsi="Times New Roman" w:cs="Times New Roman"/>
      <w:sz w:val="20"/>
    </w:rPr>
  </w:style>
  <w:style w:type="paragraph" w:styleId="NormalWeb">
    <w:name w:val="Normal (Web)"/>
    <w:basedOn w:val="Normal"/>
    <w:unhideWhenUsed/>
    <w:rsid w:val="0032259E"/>
    <w:rPr>
      <w:lang w:val="es-ES"/>
    </w:rPr>
  </w:style>
  <w:style w:type="paragraph" w:customStyle="1" w:styleId="Listavistosa-nfasis11">
    <w:name w:val="Lista vistosa - Énfasis 11"/>
    <w:basedOn w:val="Normal"/>
    <w:uiPriority w:val="34"/>
    <w:qFormat/>
    <w:rsid w:val="0032259E"/>
    <w:pPr>
      <w:ind w:left="720"/>
      <w:contextualSpacing/>
    </w:pPr>
    <w:rPr>
      <w:rFonts w:ascii="Cambria" w:eastAsia="MS Mincho" w:hAnsi="Cambria"/>
    </w:rPr>
  </w:style>
  <w:style w:type="paragraph" w:styleId="Prrafodelista">
    <w:name w:val="List Paragraph"/>
    <w:basedOn w:val="Normal"/>
    <w:uiPriority w:val="34"/>
    <w:qFormat/>
    <w:rsid w:val="00A1008E"/>
    <w:pPr>
      <w:ind w:left="720" w:hanging="170"/>
      <w:contextualSpacing/>
      <w:jc w:val="both"/>
    </w:pPr>
    <w:rPr>
      <w:rFonts w:asciiTheme="minorHAnsi" w:eastAsiaTheme="minorHAnsi" w:hAnsiTheme="minorHAnsi" w:cstheme="minorBidi"/>
      <w:sz w:val="22"/>
      <w:szCs w:val="22"/>
      <w:lang w:eastAsia="en-US"/>
    </w:rPr>
  </w:style>
  <w:style w:type="paragraph" w:styleId="Textodeglobo">
    <w:name w:val="Balloon Text"/>
    <w:basedOn w:val="Normal"/>
    <w:link w:val="TextodegloboCar"/>
    <w:uiPriority w:val="99"/>
    <w:semiHidden/>
    <w:unhideWhenUsed/>
    <w:rsid w:val="00667BB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7BB5"/>
    <w:rPr>
      <w:rFonts w:ascii="Segoe UI" w:eastAsia="Times New Roman" w:hAnsi="Segoe UI" w:cs="Segoe UI"/>
      <w:sz w:val="18"/>
      <w:szCs w:val="18"/>
      <w:lang w:val="es-ES_tradnl" w:eastAsia="es-ES"/>
    </w:rPr>
  </w:style>
  <w:style w:type="table" w:customStyle="1" w:styleId="Tablaconcuadrcula1">
    <w:name w:val="Tabla con cuadrícula1"/>
    <w:basedOn w:val="Tablanormal"/>
    <w:next w:val="Tablaconcuadrcula"/>
    <w:uiPriority w:val="59"/>
    <w:rsid w:val="009F5A1D"/>
    <w:pPr>
      <w:spacing w:after="0" w:line="240" w:lineRule="auto"/>
    </w:pPr>
    <w:rPr>
      <w:rFonts w:eastAsia="MS Minch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231A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250514">
      <w:bodyDiv w:val="1"/>
      <w:marLeft w:val="0"/>
      <w:marRight w:val="0"/>
      <w:marTop w:val="0"/>
      <w:marBottom w:val="0"/>
      <w:divBdr>
        <w:top w:val="none" w:sz="0" w:space="0" w:color="auto"/>
        <w:left w:val="none" w:sz="0" w:space="0" w:color="auto"/>
        <w:bottom w:val="none" w:sz="0" w:space="0" w:color="auto"/>
        <w:right w:val="none" w:sz="0" w:space="0" w:color="auto"/>
      </w:divBdr>
      <w:divsChild>
        <w:div w:id="1470901572">
          <w:marLeft w:val="547"/>
          <w:marRight w:val="0"/>
          <w:marTop w:val="0"/>
          <w:marBottom w:val="0"/>
          <w:divBdr>
            <w:top w:val="none" w:sz="0" w:space="0" w:color="auto"/>
            <w:left w:val="none" w:sz="0" w:space="0" w:color="auto"/>
            <w:bottom w:val="none" w:sz="0" w:space="0" w:color="auto"/>
            <w:right w:val="none" w:sz="0" w:space="0" w:color="auto"/>
          </w:divBdr>
        </w:div>
        <w:div w:id="1334799866">
          <w:marLeft w:val="547"/>
          <w:marRight w:val="0"/>
          <w:marTop w:val="0"/>
          <w:marBottom w:val="0"/>
          <w:divBdr>
            <w:top w:val="none" w:sz="0" w:space="0" w:color="auto"/>
            <w:left w:val="none" w:sz="0" w:space="0" w:color="auto"/>
            <w:bottom w:val="none" w:sz="0" w:space="0" w:color="auto"/>
            <w:right w:val="none" w:sz="0" w:space="0" w:color="auto"/>
          </w:divBdr>
        </w:div>
        <w:div w:id="541989643">
          <w:marLeft w:val="547"/>
          <w:marRight w:val="0"/>
          <w:marTop w:val="0"/>
          <w:marBottom w:val="0"/>
          <w:divBdr>
            <w:top w:val="none" w:sz="0" w:space="0" w:color="auto"/>
            <w:left w:val="none" w:sz="0" w:space="0" w:color="auto"/>
            <w:bottom w:val="none" w:sz="0" w:space="0" w:color="auto"/>
            <w:right w:val="none" w:sz="0" w:space="0" w:color="auto"/>
          </w:divBdr>
        </w:div>
        <w:div w:id="77529722">
          <w:marLeft w:val="547"/>
          <w:marRight w:val="0"/>
          <w:marTop w:val="0"/>
          <w:marBottom w:val="0"/>
          <w:divBdr>
            <w:top w:val="none" w:sz="0" w:space="0" w:color="auto"/>
            <w:left w:val="none" w:sz="0" w:space="0" w:color="auto"/>
            <w:bottom w:val="none" w:sz="0" w:space="0" w:color="auto"/>
            <w:right w:val="none" w:sz="0" w:space="0" w:color="auto"/>
          </w:divBdr>
        </w:div>
      </w:divsChild>
    </w:div>
    <w:div w:id="1903370364">
      <w:bodyDiv w:val="1"/>
      <w:marLeft w:val="0"/>
      <w:marRight w:val="0"/>
      <w:marTop w:val="0"/>
      <w:marBottom w:val="0"/>
      <w:divBdr>
        <w:top w:val="none" w:sz="0" w:space="0" w:color="auto"/>
        <w:left w:val="none" w:sz="0" w:space="0" w:color="auto"/>
        <w:bottom w:val="none" w:sz="0" w:space="0" w:color="auto"/>
        <w:right w:val="none" w:sz="0" w:space="0" w:color="auto"/>
      </w:divBdr>
      <w:divsChild>
        <w:div w:id="2096632715">
          <w:marLeft w:val="547"/>
          <w:marRight w:val="0"/>
          <w:marTop w:val="0"/>
          <w:marBottom w:val="0"/>
          <w:divBdr>
            <w:top w:val="none" w:sz="0" w:space="0" w:color="auto"/>
            <w:left w:val="none" w:sz="0" w:space="0" w:color="auto"/>
            <w:bottom w:val="none" w:sz="0" w:space="0" w:color="auto"/>
            <w:right w:val="none" w:sz="0" w:space="0" w:color="auto"/>
          </w:divBdr>
        </w:div>
        <w:div w:id="1082726606">
          <w:marLeft w:val="1166"/>
          <w:marRight w:val="0"/>
          <w:marTop w:val="0"/>
          <w:marBottom w:val="0"/>
          <w:divBdr>
            <w:top w:val="none" w:sz="0" w:space="0" w:color="auto"/>
            <w:left w:val="none" w:sz="0" w:space="0" w:color="auto"/>
            <w:bottom w:val="none" w:sz="0" w:space="0" w:color="auto"/>
            <w:right w:val="none" w:sz="0" w:space="0" w:color="auto"/>
          </w:divBdr>
        </w:div>
        <w:div w:id="640576722">
          <w:marLeft w:val="1166"/>
          <w:marRight w:val="0"/>
          <w:marTop w:val="0"/>
          <w:marBottom w:val="0"/>
          <w:divBdr>
            <w:top w:val="none" w:sz="0" w:space="0" w:color="auto"/>
            <w:left w:val="none" w:sz="0" w:space="0" w:color="auto"/>
            <w:bottom w:val="none" w:sz="0" w:space="0" w:color="auto"/>
            <w:right w:val="none" w:sz="0" w:space="0" w:color="auto"/>
          </w:divBdr>
        </w:div>
        <w:div w:id="1148747712">
          <w:marLeft w:val="547"/>
          <w:marRight w:val="0"/>
          <w:marTop w:val="0"/>
          <w:marBottom w:val="0"/>
          <w:divBdr>
            <w:top w:val="none" w:sz="0" w:space="0" w:color="auto"/>
            <w:left w:val="none" w:sz="0" w:space="0" w:color="auto"/>
            <w:bottom w:val="none" w:sz="0" w:space="0" w:color="auto"/>
            <w:right w:val="none" w:sz="0" w:space="0" w:color="auto"/>
          </w:divBdr>
        </w:div>
        <w:div w:id="183517781">
          <w:marLeft w:val="1166"/>
          <w:marRight w:val="0"/>
          <w:marTop w:val="0"/>
          <w:marBottom w:val="0"/>
          <w:divBdr>
            <w:top w:val="none" w:sz="0" w:space="0" w:color="auto"/>
            <w:left w:val="none" w:sz="0" w:space="0" w:color="auto"/>
            <w:bottom w:val="none" w:sz="0" w:space="0" w:color="auto"/>
            <w:right w:val="none" w:sz="0" w:space="0" w:color="auto"/>
          </w:divBdr>
        </w:div>
        <w:div w:id="130252613">
          <w:marLeft w:val="1166"/>
          <w:marRight w:val="0"/>
          <w:marTop w:val="0"/>
          <w:marBottom w:val="0"/>
          <w:divBdr>
            <w:top w:val="none" w:sz="0" w:space="0" w:color="auto"/>
            <w:left w:val="none" w:sz="0" w:space="0" w:color="auto"/>
            <w:bottom w:val="none" w:sz="0" w:space="0" w:color="auto"/>
            <w:right w:val="none" w:sz="0" w:space="0" w:color="auto"/>
          </w:divBdr>
        </w:div>
        <w:div w:id="106512066">
          <w:marLeft w:val="547"/>
          <w:marRight w:val="0"/>
          <w:marTop w:val="0"/>
          <w:marBottom w:val="0"/>
          <w:divBdr>
            <w:top w:val="none" w:sz="0" w:space="0" w:color="auto"/>
            <w:left w:val="none" w:sz="0" w:space="0" w:color="auto"/>
            <w:bottom w:val="none" w:sz="0" w:space="0" w:color="auto"/>
            <w:right w:val="none" w:sz="0" w:space="0" w:color="auto"/>
          </w:divBdr>
        </w:div>
        <w:div w:id="965743160">
          <w:marLeft w:val="1166"/>
          <w:marRight w:val="0"/>
          <w:marTop w:val="0"/>
          <w:marBottom w:val="0"/>
          <w:divBdr>
            <w:top w:val="none" w:sz="0" w:space="0" w:color="auto"/>
            <w:left w:val="none" w:sz="0" w:space="0" w:color="auto"/>
            <w:bottom w:val="none" w:sz="0" w:space="0" w:color="auto"/>
            <w:right w:val="none" w:sz="0" w:space="0" w:color="auto"/>
          </w:divBdr>
        </w:div>
        <w:div w:id="2062903294">
          <w:marLeft w:val="1166"/>
          <w:marRight w:val="0"/>
          <w:marTop w:val="0"/>
          <w:marBottom w:val="0"/>
          <w:divBdr>
            <w:top w:val="none" w:sz="0" w:space="0" w:color="auto"/>
            <w:left w:val="none" w:sz="0" w:space="0" w:color="auto"/>
            <w:bottom w:val="none" w:sz="0" w:space="0" w:color="auto"/>
            <w:right w:val="none" w:sz="0" w:space="0" w:color="auto"/>
          </w:divBdr>
        </w:div>
        <w:div w:id="1033726699">
          <w:marLeft w:val="1166"/>
          <w:marRight w:val="0"/>
          <w:marTop w:val="0"/>
          <w:marBottom w:val="0"/>
          <w:divBdr>
            <w:top w:val="none" w:sz="0" w:space="0" w:color="auto"/>
            <w:left w:val="none" w:sz="0" w:space="0" w:color="auto"/>
            <w:bottom w:val="none" w:sz="0" w:space="0" w:color="auto"/>
            <w:right w:val="none" w:sz="0" w:space="0" w:color="auto"/>
          </w:divBdr>
        </w:div>
        <w:div w:id="680203128">
          <w:marLeft w:val="547"/>
          <w:marRight w:val="0"/>
          <w:marTop w:val="0"/>
          <w:marBottom w:val="0"/>
          <w:divBdr>
            <w:top w:val="none" w:sz="0" w:space="0" w:color="auto"/>
            <w:left w:val="none" w:sz="0" w:space="0" w:color="auto"/>
            <w:bottom w:val="none" w:sz="0" w:space="0" w:color="auto"/>
            <w:right w:val="none" w:sz="0" w:space="0" w:color="auto"/>
          </w:divBdr>
        </w:div>
        <w:div w:id="1313367410">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402ED-EAD6-4C2D-9A0A-FF20C48B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5623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del Carmen Vilar Fernández</dc:creator>
  <cp:keywords/>
  <dc:description/>
  <cp:lastModifiedBy>Cecilia Refojos González</cp:lastModifiedBy>
  <cp:revision>23</cp:revision>
  <cp:lastPrinted>2014-11-07T11:39:00Z</cp:lastPrinted>
  <dcterms:created xsi:type="dcterms:W3CDTF">2014-10-24T10:45:00Z</dcterms:created>
  <dcterms:modified xsi:type="dcterms:W3CDTF">2014-12-05T07:12:00Z</dcterms:modified>
</cp:coreProperties>
</file>